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7EEE6" w14:textId="19FDF482" w:rsidR="00654E8F" w:rsidRDefault="00654E8F" w:rsidP="0001436A">
      <w:pPr>
        <w:pStyle w:val="SupplementaryMaterial"/>
      </w:pPr>
      <w:r w:rsidRPr="001549D3">
        <w:t>Supplementary Material</w:t>
      </w:r>
    </w:p>
    <w:p w14:paraId="3E99DA1F" w14:textId="77777777" w:rsidR="00DB3DD2" w:rsidRPr="00DB3DD2" w:rsidRDefault="00DB3DD2" w:rsidP="00DB3DD2">
      <w:pPr>
        <w:pStyle w:val="Title"/>
      </w:pPr>
    </w:p>
    <w:p w14:paraId="3BD5A427" w14:textId="404108DE" w:rsidR="00EA3D3C" w:rsidRPr="00994A3D" w:rsidRDefault="00654E8F" w:rsidP="0001436A">
      <w:pPr>
        <w:pStyle w:val="Heading1"/>
      </w:pPr>
      <w:r w:rsidRPr="00994A3D">
        <w:t>Supplementary Data</w:t>
      </w:r>
      <w:r w:rsidR="00DB3DD2">
        <w:t xml:space="preserve"> and Tables</w:t>
      </w:r>
    </w:p>
    <w:p w14:paraId="0E0730D8" w14:textId="1FAF07F9" w:rsidR="00994A3D" w:rsidRDefault="00994A3D" w:rsidP="00994A3D">
      <w:pPr>
        <w:jc w:val="both"/>
        <w:rPr>
          <w:rFonts w:cs="Times New Roman"/>
          <w:szCs w:val="24"/>
        </w:rPr>
      </w:pPr>
      <w:r w:rsidRPr="00994A3D">
        <w:rPr>
          <w:rFonts w:cs="Times New Roman"/>
          <w:szCs w:val="24"/>
        </w:rPr>
        <w:t>Supplementary</w:t>
      </w:r>
      <w:r w:rsidR="00C94585">
        <w:rPr>
          <w:rFonts w:cs="Times New Roman"/>
          <w:szCs w:val="24"/>
        </w:rPr>
        <w:t xml:space="preserve"> calculation regarding CO2 removal analysis for phenolic oil (or bioasphalt) and biochar emissions for life cycle analysis:</w:t>
      </w:r>
      <w:r w:rsidRPr="00994A3D">
        <w:rPr>
          <w:rFonts w:cs="Times New Roman"/>
          <w:szCs w:val="24"/>
        </w:rPr>
        <w:t xml:space="preserve"> </w:t>
      </w:r>
    </w:p>
    <w:p w14:paraId="18D1A4D1" w14:textId="4C611BB4" w:rsidR="00C94585" w:rsidRDefault="00C94585" w:rsidP="00C94585">
      <w:pPr>
        <w:pStyle w:val="Heading2"/>
      </w:pPr>
      <w:r>
        <w:t>Phenolic Oil (or Bioasphalt) CO</w:t>
      </w:r>
      <w:r w:rsidRPr="00C94585">
        <w:rPr>
          <w:vertAlign w:val="subscript"/>
        </w:rPr>
        <w:t>2</w:t>
      </w:r>
      <w:r>
        <w:t xml:space="preserve"> removal analysis</w:t>
      </w:r>
      <w:r w:rsidRPr="00C94585">
        <w:t xml:space="preserve"> </w:t>
      </w:r>
    </w:p>
    <w:p w14:paraId="4470AF91" w14:textId="369E3B08" w:rsidR="00081124" w:rsidRPr="00081124" w:rsidRDefault="00081124" w:rsidP="00081124">
      <w:r>
        <w:t>The phenolic oil emission factor (EF) is equal to the greenhouse gas (GHG) emissions incurred in converting phenolic oil to bioasphalt minus the equivalent CO</w:t>
      </w:r>
      <w:r>
        <w:rPr>
          <w:vertAlign w:val="subscript"/>
        </w:rPr>
        <w:t>2</w:t>
      </w:r>
      <w:r>
        <w:t xml:space="preserve"> captured in the solid bioasphalt carbon after a 100</w:t>
      </w:r>
      <w:r w:rsidR="004F39A2">
        <w:t>-</w:t>
      </w:r>
      <w:r>
        <w:t xml:space="preserve">year period. </w:t>
      </w:r>
    </w:p>
    <w:p w14:paraId="738C90F5" w14:textId="5274CFB9" w:rsidR="004859C5" w:rsidRPr="00081124" w:rsidRDefault="00066985" w:rsidP="007A05BF">
      <w:pPr>
        <w:rPr>
          <w:rFonts w:eastAsia="Cambria" w:cs="Times New Roman"/>
        </w:rPr>
      </w:pPr>
      <m:oMathPara>
        <m:oMath>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phenolic oil</m:t>
              </m:r>
            </m:sub>
          </m:sSub>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bioasphalt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bioasphalt</m:t>
                  </m:r>
                </m:sub>
              </m:sSub>
            </m:num>
            <m:den>
              <m:sSub>
                <m:sSubPr>
                  <m:ctrlPr>
                    <w:rPr>
                      <w:rFonts w:ascii="Cambria Math" w:hAnsi="Cambria Math"/>
                      <w:i/>
                    </w:rPr>
                  </m:ctrlPr>
                </m:sSubPr>
                <m:e>
                  <m:r>
                    <w:rPr>
                      <w:rFonts w:ascii="Cambria Math" w:hAnsi="Cambria Math"/>
                    </w:rPr>
                    <m:t>Y</m:t>
                  </m:r>
                </m:e>
                <m:sub>
                  <m:r>
                    <w:rPr>
                      <w:rFonts w:ascii="Cambria Math" w:hAnsi="Cambria Math"/>
                    </w:rPr>
                    <m:t>phenolic oil</m:t>
                  </m:r>
                </m:sub>
              </m:sSub>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phenolic oil</m:t>
              </m:r>
            </m:sub>
          </m:sSub>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bioasphalt</m:t>
              </m:r>
            </m:sub>
          </m:sSub>
          <m:r>
            <w:rPr>
              <w:rFonts w:ascii="Cambria Math" w:hAnsi="Cambria Math"/>
            </w:rPr>
            <m:t>*CF</m:t>
          </m:r>
        </m:oMath>
      </m:oMathPara>
    </w:p>
    <w:p w14:paraId="6651C811" w14:textId="6C951BC1" w:rsidR="00081124" w:rsidRPr="00081124" w:rsidRDefault="00081124" w:rsidP="007A05BF">
      <w:pPr>
        <w:rPr>
          <w:rFonts w:eastAsia="Cambria" w:cs="Times New Roman"/>
        </w:rPr>
      </w:pPr>
      <w:r>
        <w:rPr>
          <w:rFonts w:eastAsia="Cambria" w:cs="Times New Roman"/>
        </w:rPr>
        <w:t>Where CF = 44 kg CO</w:t>
      </w:r>
      <w:r w:rsidRPr="00081124">
        <w:rPr>
          <w:rFonts w:eastAsia="Cambria" w:cs="Times New Roman"/>
          <w:vertAlign w:val="subscript"/>
        </w:rPr>
        <w:t>2e</w:t>
      </w:r>
      <w:r>
        <w:rPr>
          <w:rFonts w:eastAsia="Cambria" w:cs="Times New Roman"/>
        </w:rPr>
        <w:t>/12 kg C</w:t>
      </w:r>
    </w:p>
    <w:p w14:paraId="418D8B17" w14:textId="4D1E39FA" w:rsidR="00EB7C82" w:rsidRDefault="00EB7C82" w:rsidP="007A05BF">
      <w:pPr>
        <w:rPr>
          <w:rFonts w:eastAsiaTheme="minorEastAsia"/>
        </w:rPr>
      </w:pPr>
      <w:r w:rsidRPr="00D01D9E">
        <w:rPr>
          <w:rFonts w:eastAsiaTheme="minorEastAsia"/>
          <w:b/>
          <w:bCs/>
        </w:rPr>
        <w:t>Supplementary Table 1</w:t>
      </w:r>
      <w:r>
        <w:rPr>
          <w:rFonts w:eastAsiaTheme="minorEastAsia"/>
        </w:rPr>
        <w:t>. Values and references of the parameters for CO</w:t>
      </w:r>
      <w:r w:rsidRPr="00EB7C82">
        <w:rPr>
          <w:rFonts w:eastAsiaTheme="minorEastAsia"/>
          <w:vertAlign w:val="subscript"/>
        </w:rPr>
        <w:t>2</w:t>
      </w:r>
      <w:r>
        <w:rPr>
          <w:rFonts w:eastAsiaTheme="minorEastAsia"/>
        </w:rPr>
        <w:t xml:space="preserve"> removal analysis of phenolic oil </w:t>
      </w:r>
      <w:r w:rsidR="003771FB">
        <w:rPr>
          <w:rFonts w:eastAsiaTheme="minorEastAsia"/>
        </w:rPr>
        <w:t>(or</w:t>
      </w:r>
      <w:r>
        <w:rPr>
          <w:rFonts w:eastAsiaTheme="minorEastAsia"/>
        </w:rPr>
        <w:t xml:space="preserve"> bioasphalt)</w:t>
      </w:r>
    </w:p>
    <w:tbl>
      <w:tblPr>
        <w:tblStyle w:val="TableGrid"/>
        <w:tblW w:w="0" w:type="auto"/>
        <w:tblLook w:val="04A0" w:firstRow="1" w:lastRow="0" w:firstColumn="1" w:lastColumn="0" w:noHBand="0" w:noVBand="1"/>
      </w:tblPr>
      <w:tblGrid>
        <w:gridCol w:w="1525"/>
        <w:gridCol w:w="990"/>
        <w:gridCol w:w="2430"/>
        <w:gridCol w:w="3216"/>
        <w:gridCol w:w="1606"/>
      </w:tblGrid>
      <w:tr w:rsidR="00D23DBE" w14:paraId="65FCFD9B" w14:textId="77777777" w:rsidTr="004859C5">
        <w:tc>
          <w:tcPr>
            <w:tcW w:w="1525" w:type="dxa"/>
          </w:tcPr>
          <w:p w14:paraId="134BF1C1" w14:textId="68A01F66" w:rsidR="00D23DBE" w:rsidRDefault="00D23DBE" w:rsidP="007A05BF">
            <w:pPr>
              <w:rPr>
                <w:rFonts w:eastAsiaTheme="minorEastAsia"/>
              </w:rPr>
            </w:pPr>
            <w:r>
              <w:rPr>
                <w:rFonts w:eastAsiaTheme="minorEastAsia"/>
              </w:rPr>
              <w:t xml:space="preserve">Parameters </w:t>
            </w:r>
          </w:p>
        </w:tc>
        <w:tc>
          <w:tcPr>
            <w:tcW w:w="990" w:type="dxa"/>
          </w:tcPr>
          <w:p w14:paraId="63863401" w14:textId="7FA3A434" w:rsidR="00D23DBE" w:rsidRDefault="00D23DBE" w:rsidP="007A05BF">
            <w:pPr>
              <w:rPr>
                <w:rFonts w:eastAsiaTheme="minorEastAsia"/>
              </w:rPr>
            </w:pPr>
            <w:r>
              <w:rPr>
                <w:rFonts w:eastAsiaTheme="minorEastAsia"/>
              </w:rPr>
              <w:t>Value</w:t>
            </w:r>
          </w:p>
        </w:tc>
        <w:tc>
          <w:tcPr>
            <w:tcW w:w="2430" w:type="dxa"/>
          </w:tcPr>
          <w:p w14:paraId="1C034ECF" w14:textId="3BF3A38A" w:rsidR="00D23DBE" w:rsidRDefault="00D23DBE" w:rsidP="007A05BF">
            <w:pPr>
              <w:rPr>
                <w:rFonts w:eastAsiaTheme="minorEastAsia"/>
              </w:rPr>
            </w:pPr>
            <w:r>
              <w:rPr>
                <w:rFonts w:eastAsiaTheme="minorEastAsia"/>
              </w:rPr>
              <w:t>Units</w:t>
            </w:r>
          </w:p>
        </w:tc>
        <w:tc>
          <w:tcPr>
            <w:tcW w:w="3216" w:type="dxa"/>
          </w:tcPr>
          <w:p w14:paraId="0A77E38A" w14:textId="3804E49A" w:rsidR="00D23DBE" w:rsidRDefault="00D23DBE" w:rsidP="007A05BF">
            <w:pPr>
              <w:rPr>
                <w:rFonts w:eastAsiaTheme="minorEastAsia"/>
              </w:rPr>
            </w:pPr>
            <w:r>
              <w:rPr>
                <w:rFonts w:eastAsiaTheme="minorEastAsia"/>
              </w:rPr>
              <w:t>Notes</w:t>
            </w:r>
          </w:p>
        </w:tc>
        <w:tc>
          <w:tcPr>
            <w:tcW w:w="1606" w:type="dxa"/>
          </w:tcPr>
          <w:p w14:paraId="2E8601BA" w14:textId="1411D07C" w:rsidR="00D23DBE" w:rsidRDefault="00D23DBE" w:rsidP="007A05BF">
            <w:pPr>
              <w:rPr>
                <w:rFonts w:eastAsiaTheme="minorEastAsia"/>
              </w:rPr>
            </w:pPr>
            <w:r>
              <w:rPr>
                <w:rFonts w:eastAsiaTheme="minorEastAsia"/>
              </w:rPr>
              <w:t>Reference</w:t>
            </w:r>
          </w:p>
        </w:tc>
      </w:tr>
      <w:tr w:rsidR="00D23DBE" w14:paraId="7FA1625B" w14:textId="77777777" w:rsidTr="004859C5">
        <w:tc>
          <w:tcPr>
            <w:tcW w:w="1525" w:type="dxa"/>
          </w:tcPr>
          <w:p w14:paraId="359A16A0" w14:textId="54669343" w:rsidR="00D23DBE" w:rsidRPr="00D23DBE" w:rsidRDefault="00D23DBE" w:rsidP="007A05BF">
            <w:pPr>
              <w:rPr>
                <w:rFonts w:eastAsiaTheme="minorEastAsia"/>
              </w:rPr>
            </w:pPr>
            <w:proofErr w:type="gramStart"/>
            <w:r w:rsidRPr="00D23DBE">
              <w:rPr>
                <w:rFonts w:eastAsiaTheme="minorEastAsia"/>
              </w:rPr>
              <w:t>C</w:t>
            </w:r>
            <w:r>
              <w:rPr>
                <w:rFonts w:eastAsiaTheme="minorEastAsia"/>
                <w:vertAlign w:val="subscript"/>
              </w:rPr>
              <w:t>(</w:t>
            </w:r>
            <w:proofErr w:type="gramEnd"/>
            <w:r w:rsidRPr="00D23DBE">
              <w:rPr>
                <w:rFonts w:eastAsiaTheme="minorEastAsia"/>
                <w:vertAlign w:val="subscript"/>
              </w:rPr>
              <w:t>phenolic</w:t>
            </w:r>
            <w:r>
              <w:rPr>
                <w:rFonts w:eastAsiaTheme="minorEastAsia"/>
                <w:vertAlign w:val="subscript"/>
              </w:rPr>
              <w:t xml:space="preserve"> oil)</w:t>
            </w:r>
            <w:r>
              <w:rPr>
                <w:rFonts w:eastAsiaTheme="minorEastAsia"/>
              </w:rPr>
              <w:t xml:space="preserve"> </w:t>
            </w:r>
          </w:p>
        </w:tc>
        <w:tc>
          <w:tcPr>
            <w:tcW w:w="990" w:type="dxa"/>
          </w:tcPr>
          <w:p w14:paraId="7362C081" w14:textId="64FD1F10" w:rsidR="00D23DBE" w:rsidRDefault="00D23DBE" w:rsidP="007A05BF">
            <w:pPr>
              <w:rPr>
                <w:rFonts w:eastAsiaTheme="minorEastAsia"/>
              </w:rPr>
            </w:pPr>
            <w:r>
              <w:rPr>
                <w:rFonts w:eastAsiaTheme="minorEastAsia"/>
              </w:rPr>
              <w:t>0.</w:t>
            </w:r>
            <w:r w:rsidR="00B15C09">
              <w:rPr>
                <w:rFonts w:eastAsiaTheme="minorEastAsia"/>
              </w:rPr>
              <w:t>744</w:t>
            </w:r>
            <w:r>
              <w:rPr>
                <w:rFonts w:eastAsiaTheme="minorEastAsia"/>
              </w:rPr>
              <w:t xml:space="preserve"> </w:t>
            </w:r>
          </w:p>
        </w:tc>
        <w:tc>
          <w:tcPr>
            <w:tcW w:w="2430" w:type="dxa"/>
          </w:tcPr>
          <w:p w14:paraId="1910CE51" w14:textId="0675A3D9" w:rsidR="00D23DBE" w:rsidRDefault="004859C5" w:rsidP="007A05BF">
            <w:pPr>
              <w:rPr>
                <w:rFonts w:eastAsiaTheme="minorEastAsia"/>
              </w:rPr>
            </w:pPr>
            <w:r>
              <w:rPr>
                <w:rFonts w:eastAsiaTheme="minorEastAsia"/>
              </w:rPr>
              <w:t xml:space="preserve">kg C/kg </w:t>
            </w:r>
            <w:r w:rsidR="0045340A">
              <w:rPr>
                <w:rFonts w:eastAsiaTheme="minorEastAsia"/>
              </w:rPr>
              <w:t>phenolic oil</w:t>
            </w:r>
          </w:p>
        </w:tc>
        <w:tc>
          <w:tcPr>
            <w:tcW w:w="3216" w:type="dxa"/>
          </w:tcPr>
          <w:p w14:paraId="05314A04" w14:textId="5C2F07D3" w:rsidR="00D23DBE" w:rsidRDefault="00D23DBE" w:rsidP="007A05BF">
            <w:pPr>
              <w:rPr>
                <w:rFonts w:eastAsiaTheme="minorEastAsia"/>
              </w:rPr>
            </w:pPr>
            <w:r>
              <w:rPr>
                <w:rFonts w:eastAsiaTheme="minorEastAsia"/>
              </w:rPr>
              <w:t>Phenolic oil carbon content.</w:t>
            </w:r>
          </w:p>
        </w:tc>
        <w:tc>
          <w:tcPr>
            <w:tcW w:w="1606" w:type="dxa"/>
          </w:tcPr>
          <w:p w14:paraId="2E800089" w14:textId="3460EB57" w:rsidR="00D23DBE" w:rsidRDefault="00D23DBE" w:rsidP="007A05BF">
            <w:pPr>
              <w:rPr>
                <w:rFonts w:eastAsiaTheme="minorEastAsia"/>
              </w:rPr>
            </w:pPr>
            <w:r>
              <w:rPr>
                <w:rFonts w:eastAsiaTheme="minorEastAsia"/>
              </w:rPr>
              <w:fldChar w:fldCharType="begin" w:fldLock="1"/>
            </w:r>
            <w:r>
              <w:rPr>
                <w:rFonts w:eastAsiaTheme="minorEastAsia"/>
              </w:rPr>
              <w:instrText>ADDIN CSL_CITATION {"citationItems":[{"id":"ITEM-1","itemData":{"DOI":"10.1021/acssuschemeng.5b00015","ISSN":"21680485","abstract":"Phenolic oils were produced from fast pyrolysis of two different biomass feedstocks, red oak and corn stover, and evaluated in hydroprocessing tests for production of liquid hydrocarbon products. The phenolic oils were produced with a bio-oil fractionating process in combination with a simple water wash of the heavy ends from the fractionating process. Phenolic oils derived from the pyrolysis of red oak and corn stover were recovered with yields (wet biomass basis) of 28.7 and 14.9 wt %, respectively, and 54.3% and 60.0% on a carbon basis. Both precious metal catalysts and sulfided base metal catalyst were evaluated for hydrotreating the phenolic oils, as an extrapolation from whole bio-oil hydrotreatment. They were effective in removing heteroatoms with carbon yields as high as 81% (unadjusted for the 90% carbon balance). There was substantial heteroatom removal with residual O of only 0.4% to 5%, while N and S were reduced to less than 0.05%. Use of the precious metal catalysts resulted in more saturated products less completely hydrotreated compared to the sulfided base metal catalyst, which was operated at higher temperature. The liquid product was 42-52% gasoline range molecules and about 43% diesel range molecules. Particulate matter in the phenolic oils complicated operation of the reactors, causing plugging in the fixed-beds especially for the corn stover phenolic oil. This difficulty contrasts with the catalyst bed fouling and plugging, which is typically seen with hydrotreatment of whole bio-oil. This problem was substantially alleviated by filtering the phenolic oils before hydrotreating. More thorough washing of the phenolic oils during their preparation from the heavy ends of bio-oil or online filtration of pyrolysis vapors to remove particulate matter before condensation of the bio-oil fractions is recommended. (Figure Presented).","author":[{"dropping-particle":"","family":"Elliott","given":"Douglas C.","non-dropping-particle":"","parse-names":false,"suffix":""},{"dropping-particle":"","family":"Wang","given":"Huamin","non-dropping-particle":"","parse-names":false,"suffix":""},{"dropping-particle":"","family":"Rover","given":"Marjorie","non-dropping-particle":"","parse-names":false,"suffix":""},{"dropping-particle":"","family":"Whitmer","given":"Lysle","non-dropping-particle":"","parse-names":false,"suffix":""},{"dropping-particle":"","family":"Smith","given":"Ryan","non-dropping-particle":"","parse-names":false,"suffix":""},{"dropping-particle":"","family":"Brown","given":"Robert","non-dropping-particle":"","parse-names":false,"suffix":""}],"container-title":"ACS Sustainable Chemistry and Engineering","id":"ITEM-1","issue":"5","issued":{"date-parts":[["2015"]]},"page":"892-902","title":"Hydrocarbon Liquid Production via Catalytic Hydroprocessing of Phenolic Oils Fractionated from Fast Pyrolysis of Red Oak and Corn Stover","type":"article-journal","volume":"3"},"uris":["http://www.mendeley.com/documents/?uuid=c1cc3c02-8fcd-4bd7-8b9a-c1fe305a0bd3"]}],"mendeley":{"formattedCitation":"(Elliott et al. 2015)","plainTextFormattedCitation":"(Elliott et al. 2015)","previouslyFormattedCitation":"(Elliott et al. 2015)"},"properties":{"noteIndex":0},"schema":"https://github.com/citation-style-language/schema/raw/master/csl-citation.json"}</w:instrText>
            </w:r>
            <w:r>
              <w:rPr>
                <w:rFonts w:eastAsiaTheme="minorEastAsia"/>
              </w:rPr>
              <w:fldChar w:fldCharType="separate"/>
            </w:r>
            <w:r w:rsidRPr="00D01D9E">
              <w:rPr>
                <w:rFonts w:eastAsiaTheme="minorEastAsia"/>
                <w:noProof/>
              </w:rPr>
              <w:t>(Elliott et al. 2015)</w:t>
            </w:r>
            <w:r>
              <w:rPr>
                <w:rFonts w:eastAsiaTheme="minorEastAsia"/>
              </w:rPr>
              <w:fldChar w:fldCharType="end"/>
            </w:r>
          </w:p>
        </w:tc>
      </w:tr>
      <w:tr w:rsidR="00D23DBE" w14:paraId="25260C9F" w14:textId="77777777" w:rsidTr="004859C5">
        <w:tc>
          <w:tcPr>
            <w:tcW w:w="1525" w:type="dxa"/>
          </w:tcPr>
          <w:p w14:paraId="6D472E0C" w14:textId="3C61B59A" w:rsidR="00D23DBE" w:rsidRPr="00D23DBE" w:rsidRDefault="00D23DBE" w:rsidP="007A05BF">
            <w:pPr>
              <w:rPr>
                <w:rFonts w:eastAsiaTheme="minorEastAsia"/>
              </w:rPr>
            </w:pPr>
            <w:proofErr w:type="spellStart"/>
            <w:r>
              <w:rPr>
                <w:rFonts w:eastAsiaTheme="minorEastAsia"/>
              </w:rPr>
              <w:t>EF</w:t>
            </w:r>
            <w:r>
              <w:rPr>
                <w:rFonts w:eastAsiaTheme="minorEastAsia"/>
                <w:vertAlign w:val="subscript"/>
              </w:rPr>
              <w:t>bioasphalt</w:t>
            </w:r>
            <w:proofErr w:type="spellEnd"/>
          </w:p>
        </w:tc>
        <w:tc>
          <w:tcPr>
            <w:tcW w:w="990" w:type="dxa"/>
          </w:tcPr>
          <w:p w14:paraId="5EBE7F43" w14:textId="2E3AE5C1" w:rsidR="00D23DBE" w:rsidRDefault="00D23DBE" w:rsidP="007A05BF">
            <w:pPr>
              <w:rPr>
                <w:rFonts w:eastAsiaTheme="minorEastAsia"/>
              </w:rPr>
            </w:pPr>
            <w:r>
              <w:rPr>
                <w:rFonts w:eastAsiaTheme="minorEastAsia"/>
              </w:rPr>
              <w:t>0.16</w:t>
            </w:r>
          </w:p>
        </w:tc>
        <w:tc>
          <w:tcPr>
            <w:tcW w:w="2430" w:type="dxa"/>
          </w:tcPr>
          <w:p w14:paraId="6A49B6B6" w14:textId="0EBED6A4" w:rsidR="00D23DBE" w:rsidRPr="00D23DBE" w:rsidRDefault="00D23DBE" w:rsidP="007A05BF">
            <w:pPr>
              <w:rPr>
                <w:rFonts w:eastAsiaTheme="minorEastAsia"/>
              </w:rPr>
            </w:pPr>
            <w:r>
              <w:rPr>
                <w:rFonts w:eastAsiaTheme="minorEastAsia"/>
              </w:rPr>
              <w:t>kg CO</w:t>
            </w:r>
            <w:r>
              <w:rPr>
                <w:rFonts w:eastAsiaTheme="minorEastAsia"/>
                <w:vertAlign w:val="subscript"/>
              </w:rPr>
              <w:t>2e</w:t>
            </w:r>
            <w:r>
              <w:rPr>
                <w:rFonts w:eastAsiaTheme="minorEastAsia"/>
              </w:rPr>
              <w:t>/kg</w:t>
            </w:r>
            <w:r w:rsidR="004859C5">
              <w:rPr>
                <w:rFonts w:eastAsiaTheme="minorEastAsia"/>
              </w:rPr>
              <w:t xml:space="preserve"> </w:t>
            </w:r>
            <w:r w:rsidR="0045340A">
              <w:rPr>
                <w:rFonts w:eastAsiaTheme="minorEastAsia"/>
              </w:rPr>
              <w:t>bioasphalt</w:t>
            </w:r>
          </w:p>
        </w:tc>
        <w:tc>
          <w:tcPr>
            <w:tcW w:w="3216" w:type="dxa"/>
          </w:tcPr>
          <w:p w14:paraId="1665A957" w14:textId="10E53D7A" w:rsidR="00D23DBE" w:rsidRDefault="00D23DBE" w:rsidP="007A05BF">
            <w:pPr>
              <w:rPr>
                <w:rFonts w:eastAsiaTheme="minorEastAsia"/>
              </w:rPr>
            </w:pPr>
            <w:r>
              <w:rPr>
                <w:rFonts w:eastAsiaTheme="minorEastAsia"/>
              </w:rPr>
              <w:t>Bioasphalt emission factor</w:t>
            </w:r>
          </w:p>
        </w:tc>
        <w:tc>
          <w:tcPr>
            <w:tcW w:w="1606" w:type="dxa"/>
            <w:vMerge w:val="restart"/>
          </w:tcPr>
          <w:p w14:paraId="4D2525C0" w14:textId="4EF13406" w:rsidR="00D23DBE" w:rsidRDefault="00D23DBE" w:rsidP="007A05BF">
            <w:pPr>
              <w:rPr>
                <w:rFonts w:eastAsiaTheme="minorEastAsia"/>
              </w:rPr>
            </w:pPr>
            <w:r>
              <w:rPr>
                <w:rFonts w:eastAsiaTheme="minorEastAsia"/>
              </w:rPr>
              <w:fldChar w:fldCharType="begin" w:fldLock="1"/>
            </w:r>
            <w:r>
              <w:rPr>
                <w:rFonts w:eastAsiaTheme="minorEastAsia"/>
              </w:rPr>
              <w:instrText>ADDIN CSL_CITATION {"citationItems":[{"id":"ITEM-1","itemData":{"DOI":"10.1021/acssuschemeng.0c05355","ISSN":"21680485","abstract":"This paper focuses on the life cycle assessment (LCA) of different types of biochar modified bioasphalt (BMBA) by considering greenhouse gas (GHG) emission and environmental pollution factors. Biochar and bio-oil were obtained from two types of biomass (waste wood and pig manure). The application of BMBA would not only improve the efficiency of biomass utilization but also enhance the environmental protection. Analyses were carried out by considering different stages which stem from the combination of material preparation, construction, use, maintenance, and demolition recovery. The GHG (CO2 equivalent) and environmental pollutants (volatile organic compounds equivalent, VOCs) of BMBA were used for life-cycle inventory assessment. The results showed that three critical factors including material preparation and demolition recovery contribute to environmental impact. Bioasphalt species could significantly affect the energy consumption factor and reduce the environmental pollution. As biochar and bio-oil contents increase, GHG emissions decrease accordingly. The results indicated that material preparation had the biggest contribution in energy consumption. The findings highlighted the significance of bioasphalt species and content on VOCs decay pattern in life cycle assessment and global warming potential.","author":[{"dropping-particle":"","family":"Zhou","given":"Xinxing","non-dropping-particle":"","parse-names":false,"suffix":""},{"dropping-particle":"","family":"Moghaddam","given":"Taher Baghaee","non-dropping-particle":"","parse-names":false,"suffix":""},{"dropping-particle":"","family":"Chen","given":"Meizhu","non-dropping-particle":"","parse-names":false,"suffix":""},{"dropping-particle":"","family":"Wu","given":"Shaopeng","non-dropping-particle":"","parse-names":false,"suffix":""},{"dropping-particle":"","family":"Adhikari","given":"Sanjeev","non-dropping-particle":"","parse-names":false,"suffix":""},{"dropping-particle":"","family":"Xu","given":"Song","non-dropping-particle":"","parse-names":false,"suffix":""},{"dropping-particle":"","family":"Yang","given":"Chao","non-dropping-particle":"","parse-names":false,"suffix":""}],"container-title":"ACS Sustainable Chemistry and Engineering","id":"ITEM-1","issue":"38","issued":{"date-parts":[["2020"]]},"page":"14568-14575","title":"Life Cycle Assessment of Biochar Modified Bioasphalt Derived from Biomass","type":"article-journal","volume":"8"},"uris":["http://www.mendeley.com/documents/?uuid=9474b0bd-ffd3-4ae3-9ae2-7c5d239b7a09"]}],"mendeley":{"formattedCitation":"(Zhou et al. 2020)","plainTextFormattedCitation":"(Zhou et al. 2020)","previouslyFormattedCitation":"(Zhou et al. 2020)"},"properties":{"noteIndex":0},"schema":"https://github.com/citation-style-language/schema/raw/master/csl-citation.json"}</w:instrText>
            </w:r>
            <w:r>
              <w:rPr>
                <w:rFonts w:eastAsiaTheme="minorEastAsia"/>
              </w:rPr>
              <w:fldChar w:fldCharType="separate"/>
            </w:r>
            <w:r w:rsidRPr="00D01D9E">
              <w:rPr>
                <w:rFonts w:eastAsiaTheme="minorEastAsia"/>
                <w:noProof/>
              </w:rPr>
              <w:t>(Zhou et al. 2020)</w:t>
            </w:r>
            <w:r>
              <w:rPr>
                <w:rFonts w:eastAsiaTheme="minorEastAsia"/>
              </w:rPr>
              <w:fldChar w:fldCharType="end"/>
            </w:r>
          </w:p>
        </w:tc>
      </w:tr>
      <w:tr w:rsidR="00D23DBE" w14:paraId="6C28046B" w14:textId="77777777" w:rsidTr="004859C5">
        <w:tc>
          <w:tcPr>
            <w:tcW w:w="1525" w:type="dxa"/>
          </w:tcPr>
          <w:p w14:paraId="3FBEE962" w14:textId="003E7FE8" w:rsidR="00D23DBE" w:rsidRPr="00D23DBE" w:rsidRDefault="00D23DBE" w:rsidP="007A05BF">
            <w:pPr>
              <w:rPr>
                <w:rFonts w:eastAsiaTheme="minorEastAsia"/>
                <w:vertAlign w:val="subscript"/>
              </w:rPr>
            </w:pPr>
            <w:proofErr w:type="spellStart"/>
            <w:r>
              <w:rPr>
                <w:rFonts w:eastAsiaTheme="minorEastAsia"/>
              </w:rPr>
              <w:t>Y</w:t>
            </w:r>
            <w:r>
              <w:rPr>
                <w:rFonts w:eastAsiaTheme="minorEastAsia"/>
                <w:vertAlign w:val="subscript"/>
              </w:rPr>
              <w:t>bioasphalt</w:t>
            </w:r>
            <w:proofErr w:type="spellEnd"/>
          </w:p>
        </w:tc>
        <w:tc>
          <w:tcPr>
            <w:tcW w:w="990" w:type="dxa"/>
          </w:tcPr>
          <w:p w14:paraId="1A0C223B" w14:textId="4673BDEA" w:rsidR="00D23DBE" w:rsidRDefault="00D23DBE" w:rsidP="007A05BF">
            <w:pPr>
              <w:rPr>
                <w:rFonts w:eastAsiaTheme="minorEastAsia"/>
              </w:rPr>
            </w:pPr>
            <w:r>
              <w:rPr>
                <w:rFonts w:eastAsiaTheme="minorEastAsia"/>
              </w:rPr>
              <w:t>0.23</w:t>
            </w:r>
          </w:p>
        </w:tc>
        <w:tc>
          <w:tcPr>
            <w:tcW w:w="2430" w:type="dxa"/>
          </w:tcPr>
          <w:p w14:paraId="17EA22AD" w14:textId="64AF2E71" w:rsidR="00D23DBE" w:rsidRDefault="00D23DBE" w:rsidP="007A05BF">
            <w:pPr>
              <w:rPr>
                <w:rFonts w:eastAsiaTheme="minorEastAsia"/>
              </w:rPr>
            </w:pPr>
            <w:r>
              <w:rPr>
                <w:rFonts w:eastAsiaTheme="minorEastAsia"/>
              </w:rPr>
              <w:t>kg bioasphalt/kg biomass</w:t>
            </w:r>
          </w:p>
        </w:tc>
        <w:tc>
          <w:tcPr>
            <w:tcW w:w="3216" w:type="dxa"/>
          </w:tcPr>
          <w:p w14:paraId="03FC640A" w14:textId="53A2EAC7" w:rsidR="00D23DBE" w:rsidRDefault="00D23DBE" w:rsidP="007A05BF">
            <w:pPr>
              <w:rPr>
                <w:rFonts w:eastAsiaTheme="minorEastAsia"/>
              </w:rPr>
            </w:pPr>
            <w:r>
              <w:rPr>
                <w:rFonts w:eastAsiaTheme="minorEastAsia"/>
              </w:rPr>
              <w:t>Bioasphalt yield from biomass</w:t>
            </w:r>
          </w:p>
        </w:tc>
        <w:tc>
          <w:tcPr>
            <w:tcW w:w="1606" w:type="dxa"/>
            <w:vMerge/>
          </w:tcPr>
          <w:p w14:paraId="5E89EBCD" w14:textId="551E3C4E" w:rsidR="00D23DBE" w:rsidRDefault="00D23DBE" w:rsidP="007A05BF">
            <w:pPr>
              <w:rPr>
                <w:rFonts w:eastAsiaTheme="minorEastAsia"/>
              </w:rPr>
            </w:pPr>
          </w:p>
        </w:tc>
      </w:tr>
      <w:tr w:rsidR="00D23DBE" w14:paraId="598471FE" w14:textId="77777777" w:rsidTr="004859C5">
        <w:tc>
          <w:tcPr>
            <w:tcW w:w="1525" w:type="dxa"/>
          </w:tcPr>
          <w:p w14:paraId="563E5AC1" w14:textId="2B6CE2DE" w:rsidR="00D23DBE" w:rsidRPr="00D23DBE" w:rsidRDefault="0045340A" w:rsidP="007A05BF">
            <w:pPr>
              <w:rPr>
                <w:rFonts w:eastAsiaTheme="minorEastAsia"/>
                <w:vertAlign w:val="subscript"/>
              </w:rPr>
            </w:pPr>
            <w:proofErr w:type="gramStart"/>
            <w:r w:rsidRPr="0045340A">
              <w:rPr>
                <w:rFonts w:eastAsiaTheme="minorEastAsia"/>
              </w:rPr>
              <w:t>Y</w:t>
            </w:r>
            <w:r>
              <w:rPr>
                <w:rFonts w:eastAsiaTheme="minorEastAsia"/>
                <w:vertAlign w:val="subscript"/>
              </w:rPr>
              <w:t>(</w:t>
            </w:r>
            <w:proofErr w:type="gramEnd"/>
            <w:r w:rsidR="00D23DBE">
              <w:rPr>
                <w:rFonts w:eastAsiaTheme="minorEastAsia"/>
                <w:vertAlign w:val="subscript"/>
              </w:rPr>
              <w:t>phenolic oil)</w:t>
            </w:r>
          </w:p>
        </w:tc>
        <w:tc>
          <w:tcPr>
            <w:tcW w:w="990" w:type="dxa"/>
          </w:tcPr>
          <w:p w14:paraId="312C8EE2" w14:textId="6F519669" w:rsidR="00D23DBE" w:rsidRDefault="00D23DBE" w:rsidP="007A05BF">
            <w:pPr>
              <w:rPr>
                <w:rFonts w:eastAsiaTheme="minorEastAsia"/>
              </w:rPr>
            </w:pPr>
            <w:r>
              <w:rPr>
                <w:rFonts w:eastAsiaTheme="minorEastAsia"/>
              </w:rPr>
              <w:t>0.525</w:t>
            </w:r>
          </w:p>
        </w:tc>
        <w:tc>
          <w:tcPr>
            <w:tcW w:w="2430" w:type="dxa"/>
          </w:tcPr>
          <w:p w14:paraId="36D830E8" w14:textId="7462F3DD" w:rsidR="00D23DBE" w:rsidRDefault="00D23DBE" w:rsidP="007A05BF">
            <w:pPr>
              <w:rPr>
                <w:rFonts w:eastAsiaTheme="minorEastAsia"/>
              </w:rPr>
            </w:pPr>
            <w:r>
              <w:rPr>
                <w:rFonts w:eastAsiaTheme="minorEastAsia"/>
              </w:rPr>
              <w:t>kg phenolic oil/kg biomass</w:t>
            </w:r>
          </w:p>
        </w:tc>
        <w:tc>
          <w:tcPr>
            <w:tcW w:w="3216" w:type="dxa"/>
          </w:tcPr>
          <w:p w14:paraId="2008F4FB" w14:textId="0231CD83" w:rsidR="00D23DBE" w:rsidRDefault="004859C5" w:rsidP="007A05BF">
            <w:pPr>
              <w:rPr>
                <w:rFonts w:eastAsiaTheme="minorEastAsia"/>
              </w:rPr>
            </w:pPr>
            <w:r>
              <w:rPr>
                <w:rFonts w:eastAsiaTheme="minorEastAsia"/>
              </w:rPr>
              <w:t>Phenolic oil yield from biomass</w:t>
            </w:r>
          </w:p>
        </w:tc>
        <w:tc>
          <w:tcPr>
            <w:tcW w:w="1606" w:type="dxa"/>
            <w:vMerge/>
          </w:tcPr>
          <w:p w14:paraId="157235BE" w14:textId="04969619" w:rsidR="00D23DBE" w:rsidRDefault="00D23DBE" w:rsidP="007A05BF">
            <w:pPr>
              <w:rPr>
                <w:rFonts w:eastAsiaTheme="minorEastAsia"/>
              </w:rPr>
            </w:pPr>
          </w:p>
        </w:tc>
      </w:tr>
      <w:tr w:rsidR="00D23DBE" w14:paraId="7B32AE56" w14:textId="77777777" w:rsidTr="004859C5">
        <w:tc>
          <w:tcPr>
            <w:tcW w:w="1525" w:type="dxa"/>
          </w:tcPr>
          <w:p w14:paraId="49161169" w14:textId="2BAB8F9B" w:rsidR="00D23DBE" w:rsidRPr="00D23DBE" w:rsidRDefault="00D23DBE" w:rsidP="007A05BF">
            <w:pPr>
              <w:rPr>
                <w:rFonts w:eastAsiaTheme="minorEastAsia"/>
                <w:vertAlign w:val="subscript"/>
              </w:rPr>
            </w:pPr>
            <w:proofErr w:type="spellStart"/>
            <w:r>
              <w:rPr>
                <w:rFonts w:eastAsiaTheme="minorEastAsia"/>
              </w:rPr>
              <w:t>CR</w:t>
            </w:r>
            <w:r>
              <w:rPr>
                <w:rFonts w:eastAsiaTheme="minorEastAsia"/>
              </w:rPr>
              <w:softHyphen/>
            </w:r>
            <w:r>
              <w:rPr>
                <w:rFonts w:eastAsiaTheme="minorEastAsia"/>
                <w:vertAlign w:val="subscript"/>
              </w:rPr>
              <w:t>bioasphalt</w:t>
            </w:r>
            <w:proofErr w:type="spellEnd"/>
          </w:p>
        </w:tc>
        <w:tc>
          <w:tcPr>
            <w:tcW w:w="990" w:type="dxa"/>
          </w:tcPr>
          <w:p w14:paraId="6EA6D7D0" w14:textId="1D93A8ED" w:rsidR="00D23DBE" w:rsidRDefault="00D23DBE" w:rsidP="007A05BF">
            <w:pPr>
              <w:rPr>
                <w:rFonts w:eastAsiaTheme="minorEastAsia"/>
              </w:rPr>
            </w:pPr>
            <w:r>
              <w:rPr>
                <w:rFonts w:eastAsiaTheme="minorEastAsia"/>
              </w:rPr>
              <w:t>1</w:t>
            </w:r>
          </w:p>
        </w:tc>
        <w:tc>
          <w:tcPr>
            <w:tcW w:w="2430" w:type="dxa"/>
          </w:tcPr>
          <w:p w14:paraId="07E88DF9" w14:textId="09EBC2F7" w:rsidR="00D23DBE" w:rsidRDefault="004859C5" w:rsidP="007A05BF">
            <w:pPr>
              <w:rPr>
                <w:rFonts w:eastAsiaTheme="minorEastAsia"/>
              </w:rPr>
            </w:pPr>
            <w:r>
              <w:rPr>
                <w:rFonts w:eastAsiaTheme="minorEastAsia"/>
              </w:rPr>
              <w:t>kg C/kg C</w:t>
            </w:r>
          </w:p>
        </w:tc>
        <w:tc>
          <w:tcPr>
            <w:tcW w:w="3216" w:type="dxa"/>
          </w:tcPr>
          <w:p w14:paraId="465E67B3" w14:textId="1AA48643" w:rsidR="00D23DBE" w:rsidRDefault="004859C5" w:rsidP="007A05BF">
            <w:pPr>
              <w:rPr>
                <w:rFonts w:eastAsiaTheme="minorEastAsia"/>
              </w:rPr>
            </w:pPr>
            <w:r>
              <w:rPr>
                <w:rFonts w:eastAsiaTheme="minorEastAsia"/>
              </w:rPr>
              <w:t>carbon sequestration rate after 100 years</w:t>
            </w:r>
          </w:p>
        </w:tc>
        <w:tc>
          <w:tcPr>
            <w:tcW w:w="1606" w:type="dxa"/>
            <w:vMerge/>
          </w:tcPr>
          <w:p w14:paraId="11B22B45" w14:textId="12AB07FE" w:rsidR="00D23DBE" w:rsidRDefault="00D23DBE" w:rsidP="007A05BF">
            <w:pPr>
              <w:rPr>
                <w:rFonts w:eastAsiaTheme="minorEastAsia"/>
              </w:rPr>
            </w:pPr>
          </w:p>
        </w:tc>
      </w:tr>
      <w:tr w:rsidR="00081124" w14:paraId="293E2A46" w14:textId="77777777" w:rsidTr="004859C5">
        <w:tc>
          <w:tcPr>
            <w:tcW w:w="1525" w:type="dxa"/>
          </w:tcPr>
          <w:p w14:paraId="10A42D40" w14:textId="2FD39924" w:rsidR="00081124" w:rsidRPr="00081124" w:rsidRDefault="00081124" w:rsidP="007A05BF">
            <w:pPr>
              <w:rPr>
                <w:rFonts w:eastAsiaTheme="minorEastAsia"/>
                <w:vertAlign w:val="subscript"/>
              </w:rPr>
            </w:pPr>
            <w:r>
              <w:rPr>
                <w:rFonts w:eastAsiaTheme="minorEastAsia"/>
              </w:rPr>
              <w:t>EF</w:t>
            </w:r>
            <w:r w:rsidR="00E84BAA">
              <w:rPr>
                <w:rFonts w:eastAsiaTheme="minorEastAsia"/>
                <w:vertAlign w:val="subscript"/>
              </w:rPr>
              <w:t>(p</w:t>
            </w:r>
            <w:r>
              <w:rPr>
                <w:rFonts w:eastAsiaTheme="minorEastAsia"/>
                <w:vertAlign w:val="subscript"/>
              </w:rPr>
              <w:t>henolic oil</w:t>
            </w:r>
            <w:r w:rsidR="00E84BAA">
              <w:rPr>
                <w:rFonts w:eastAsiaTheme="minorEastAsia"/>
                <w:vertAlign w:val="subscript"/>
              </w:rPr>
              <w:t>)</w:t>
            </w:r>
          </w:p>
        </w:tc>
        <w:tc>
          <w:tcPr>
            <w:tcW w:w="990" w:type="dxa"/>
          </w:tcPr>
          <w:p w14:paraId="0568BD0E" w14:textId="7FDDA480" w:rsidR="00081124" w:rsidRDefault="004F39A2" w:rsidP="007A05BF">
            <w:pPr>
              <w:rPr>
                <w:rFonts w:eastAsiaTheme="minorEastAsia"/>
              </w:rPr>
            </w:pPr>
            <w:r>
              <w:rPr>
                <w:rFonts w:eastAsiaTheme="minorEastAsia"/>
              </w:rPr>
              <w:t>-</w:t>
            </w:r>
            <w:r w:rsidR="00081124">
              <w:rPr>
                <w:rFonts w:eastAsiaTheme="minorEastAsia"/>
              </w:rPr>
              <w:t>2.</w:t>
            </w:r>
            <w:r w:rsidR="00B15C09">
              <w:rPr>
                <w:rFonts w:eastAsiaTheme="minorEastAsia"/>
              </w:rPr>
              <w:t>66</w:t>
            </w:r>
          </w:p>
        </w:tc>
        <w:tc>
          <w:tcPr>
            <w:tcW w:w="2430" w:type="dxa"/>
          </w:tcPr>
          <w:p w14:paraId="1E297C88" w14:textId="417F3CCC" w:rsidR="00081124" w:rsidRPr="00081124" w:rsidRDefault="00081124" w:rsidP="007A05BF">
            <w:pPr>
              <w:rPr>
                <w:rFonts w:eastAsiaTheme="minorEastAsia"/>
              </w:rPr>
            </w:pPr>
            <w:r>
              <w:rPr>
                <w:rFonts w:eastAsiaTheme="minorEastAsia"/>
              </w:rPr>
              <w:t>kg CO</w:t>
            </w:r>
            <w:r>
              <w:rPr>
                <w:rFonts w:eastAsiaTheme="minorEastAsia"/>
                <w:vertAlign w:val="subscript"/>
              </w:rPr>
              <w:t>2e</w:t>
            </w:r>
            <w:r>
              <w:rPr>
                <w:rFonts w:eastAsiaTheme="minorEastAsia"/>
              </w:rPr>
              <w:t>/kg phenolic oil</w:t>
            </w:r>
          </w:p>
        </w:tc>
        <w:tc>
          <w:tcPr>
            <w:tcW w:w="3216" w:type="dxa"/>
          </w:tcPr>
          <w:p w14:paraId="389B3AF5" w14:textId="3BD46655" w:rsidR="00081124" w:rsidRDefault="00081124" w:rsidP="007A05BF">
            <w:pPr>
              <w:rPr>
                <w:rFonts w:eastAsiaTheme="minorEastAsia"/>
              </w:rPr>
            </w:pPr>
            <w:r>
              <w:rPr>
                <w:rFonts w:eastAsiaTheme="minorEastAsia"/>
              </w:rPr>
              <w:t>Phenolic oil emission factor</w:t>
            </w:r>
          </w:p>
        </w:tc>
        <w:tc>
          <w:tcPr>
            <w:tcW w:w="1606" w:type="dxa"/>
          </w:tcPr>
          <w:p w14:paraId="3631A2C5" w14:textId="68C0ED6B" w:rsidR="00081124" w:rsidRDefault="00081124" w:rsidP="007A05BF">
            <w:pPr>
              <w:rPr>
                <w:rFonts w:eastAsiaTheme="minorEastAsia"/>
              </w:rPr>
            </w:pPr>
            <w:r>
              <w:rPr>
                <w:rFonts w:eastAsiaTheme="minorEastAsia"/>
              </w:rPr>
              <w:t>This study</w:t>
            </w:r>
          </w:p>
        </w:tc>
      </w:tr>
    </w:tbl>
    <w:p w14:paraId="30B42986" w14:textId="77777777" w:rsidR="0045015A" w:rsidRDefault="0045015A" w:rsidP="007A05BF">
      <w:pPr>
        <w:rPr>
          <w:rFonts w:eastAsiaTheme="minorEastAsia"/>
        </w:rPr>
      </w:pPr>
    </w:p>
    <w:p w14:paraId="3F119B5D" w14:textId="3CFD1BB3" w:rsidR="00DD1CCC" w:rsidRDefault="00DD1CCC" w:rsidP="00DD1CCC">
      <w:pPr>
        <w:pStyle w:val="Heading2"/>
      </w:pPr>
      <w:r>
        <w:t>Biochar CO</w:t>
      </w:r>
      <w:r w:rsidRPr="00C94585">
        <w:rPr>
          <w:vertAlign w:val="subscript"/>
        </w:rPr>
        <w:t>2</w:t>
      </w:r>
      <w:r>
        <w:t xml:space="preserve"> removal analysis</w:t>
      </w:r>
      <w:r w:rsidRPr="00C94585">
        <w:t xml:space="preserve"> </w:t>
      </w:r>
    </w:p>
    <w:p w14:paraId="551C6ED4" w14:textId="4AA085BD" w:rsidR="00081124" w:rsidRDefault="00081124" w:rsidP="00081124">
      <w:r>
        <w:t>The biochar emission factor is equal to the equivalent CO</w:t>
      </w:r>
      <w:r>
        <w:rPr>
          <w:vertAlign w:val="subscript"/>
        </w:rPr>
        <w:t>2e</w:t>
      </w:r>
      <w:r>
        <w:t xml:space="preserve"> captured in solid biochar carbon after a 100-year period. </w:t>
      </w:r>
      <w:r w:rsidR="0045340A">
        <w:t>Emissions from biochar transportation and application are assumed to be negligible relative to carbon sequestered.</w:t>
      </w:r>
    </w:p>
    <w:p w14:paraId="0B378D50" w14:textId="6ECDC852" w:rsidR="0045340A" w:rsidRPr="00E84BAA" w:rsidRDefault="00CA09A1" w:rsidP="00081124">
      <w:pPr>
        <w:rPr>
          <w:rFonts w:eastAsiaTheme="minorEastAsia"/>
        </w:rPr>
      </w:pPr>
      <m:oMathPara>
        <m:oMath>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biochar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biochar</m:t>
              </m:r>
            </m:sub>
          </m:sSub>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biochar</m:t>
              </m:r>
            </m:sub>
          </m:sSub>
          <m:r>
            <w:rPr>
              <w:rFonts w:ascii="Cambria Math" w:hAnsi="Cambria Math"/>
            </w:rPr>
            <m:t>*CF</m:t>
          </m:r>
        </m:oMath>
      </m:oMathPara>
    </w:p>
    <w:p w14:paraId="678AE181" w14:textId="0706BE30" w:rsidR="00E84BAA" w:rsidRPr="00081124" w:rsidRDefault="00E16369" w:rsidP="00081124">
      <m:oMathPara>
        <m:oMath>
          <m:sSub>
            <m:sSubPr>
              <m:ctrlPr>
                <w:rPr>
                  <w:rFonts w:ascii="Cambria Math" w:hAnsi="Cambria Math"/>
                  <w:i/>
                </w:rPr>
              </m:ctrlPr>
            </m:sSubPr>
            <m:e>
              <m:r>
                <w:rPr>
                  <w:rFonts w:ascii="Cambria Math" w:hAnsi="Cambria Math"/>
                </w:rPr>
                <m:t>C</m:t>
              </m:r>
            </m:e>
            <m:sub>
              <m:r>
                <w:rPr>
                  <w:rFonts w:ascii="Cambria Math" w:hAnsi="Cambria Math"/>
                </w:rPr>
                <m:t>biochar</m:t>
              </m:r>
            </m:sub>
          </m:sSub>
          <m:r>
            <w:rPr>
              <w:rFonts w:ascii="Cambria Math" w:hAnsi="Cambria Math"/>
            </w:rPr>
            <m:t>=C</m:t>
          </m:r>
          <m:sSub>
            <m:sSubPr>
              <m:ctrlPr>
                <w:rPr>
                  <w:rFonts w:ascii="Cambria Math" w:hAnsi="Cambria Math"/>
                  <w:i/>
                </w:rPr>
              </m:ctrlPr>
            </m:sSubPr>
            <m:e>
              <m:r>
                <w:rPr>
                  <w:rFonts w:ascii="Cambria Math" w:hAnsi="Cambria Math"/>
                </w:rPr>
                <m:t>Y</m:t>
              </m:r>
            </m:e>
            <m:sub>
              <m:r>
                <w:rPr>
                  <w:rFonts w:ascii="Cambria Math" w:hAnsi="Cambria Math"/>
                </w:rPr>
                <m:t>biochar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biomass</m:t>
                  </m:r>
                </m:sub>
              </m:sSub>
            </m:num>
            <m:den>
              <m:sSub>
                <m:sSubPr>
                  <m:ctrlPr>
                    <w:rPr>
                      <w:rFonts w:ascii="Cambria Math" w:hAnsi="Cambria Math"/>
                      <w:i/>
                    </w:rPr>
                  </m:ctrlPr>
                </m:sSubPr>
                <m:e>
                  <m:r>
                    <w:rPr>
                      <w:rFonts w:ascii="Cambria Math" w:hAnsi="Cambria Math"/>
                    </w:rPr>
                    <m:t>Y</m:t>
                  </m:r>
                </m:e>
                <m:sub>
                  <m:r>
                    <w:rPr>
                      <w:rFonts w:ascii="Cambria Math" w:hAnsi="Cambria Math"/>
                    </w:rPr>
                    <m:t>biochar</m:t>
                  </m:r>
                </m:sub>
              </m:sSub>
            </m:den>
          </m:f>
        </m:oMath>
      </m:oMathPara>
    </w:p>
    <w:p w14:paraId="6AB0D360" w14:textId="131755E3" w:rsidR="00DB3DD2" w:rsidRDefault="00DB3DD2" w:rsidP="0045015A">
      <w:pPr>
        <w:rPr>
          <w:rFonts w:eastAsiaTheme="minorEastAsia"/>
        </w:rPr>
      </w:pPr>
      <w:r w:rsidRPr="00DB3DD2">
        <w:rPr>
          <w:rFonts w:eastAsiaTheme="minorEastAsia"/>
          <w:b/>
          <w:bCs/>
        </w:rPr>
        <w:t>Supplementary Table 2.</w:t>
      </w:r>
      <w:r>
        <w:rPr>
          <w:rFonts w:eastAsiaTheme="minorEastAsia"/>
        </w:rPr>
        <w:t xml:space="preserve"> Values and references of the parameters for CO</w:t>
      </w:r>
      <w:r w:rsidRPr="00EB7C82">
        <w:rPr>
          <w:rFonts w:eastAsiaTheme="minorEastAsia"/>
          <w:vertAlign w:val="subscript"/>
        </w:rPr>
        <w:t>2</w:t>
      </w:r>
      <w:r>
        <w:rPr>
          <w:rFonts w:eastAsiaTheme="minorEastAsia"/>
        </w:rPr>
        <w:t xml:space="preserve"> removal analysis of biochar</w:t>
      </w:r>
    </w:p>
    <w:tbl>
      <w:tblPr>
        <w:tblStyle w:val="TableGrid"/>
        <w:tblW w:w="0" w:type="auto"/>
        <w:tblLook w:val="04A0" w:firstRow="1" w:lastRow="0" w:firstColumn="1" w:lastColumn="0" w:noHBand="0" w:noVBand="1"/>
      </w:tblPr>
      <w:tblGrid>
        <w:gridCol w:w="1525"/>
        <w:gridCol w:w="990"/>
        <w:gridCol w:w="2070"/>
        <w:gridCol w:w="3270"/>
        <w:gridCol w:w="1912"/>
      </w:tblGrid>
      <w:tr w:rsidR="0045340A" w14:paraId="481F5120" w14:textId="77777777" w:rsidTr="0045340A">
        <w:tc>
          <w:tcPr>
            <w:tcW w:w="1525" w:type="dxa"/>
          </w:tcPr>
          <w:p w14:paraId="6F0BD6EE" w14:textId="77777777" w:rsidR="0045340A" w:rsidRDefault="0045340A" w:rsidP="008A4B5B">
            <w:pPr>
              <w:rPr>
                <w:rFonts w:eastAsiaTheme="minorEastAsia"/>
              </w:rPr>
            </w:pPr>
            <w:r>
              <w:rPr>
                <w:rFonts w:eastAsiaTheme="minorEastAsia"/>
              </w:rPr>
              <w:t xml:space="preserve">Parameters </w:t>
            </w:r>
          </w:p>
        </w:tc>
        <w:tc>
          <w:tcPr>
            <w:tcW w:w="990" w:type="dxa"/>
          </w:tcPr>
          <w:p w14:paraId="34414DEA" w14:textId="77777777" w:rsidR="0045340A" w:rsidRDefault="0045340A" w:rsidP="008A4B5B">
            <w:pPr>
              <w:rPr>
                <w:rFonts w:eastAsiaTheme="minorEastAsia"/>
              </w:rPr>
            </w:pPr>
            <w:r>
              <w:rPr>
                <w:rFonts w:eastAsiaTheme="minorEastAsia"/>
              </w:rPr>
              <w:t>Value</w:t>
            </w:r>
          </w:p>
        </w:tc>
        <w:tc>
          <w:tcPr>
            <w:tcW w:w="2070" w:type="dxa"/>
          </w:tcPr>
          <w:p w14:paraId="5F358641" w14:textId="225C8A67" w:rsidR="0045340A" w:rsidRDefault="0045340A" w:rsidP="008A4B5B">
            <w:pPr>
              <w:rPr>
                <w:rFonts w:eastAsiaTheme="minorEastAsia"/>
              </w:rPr>
            </w:pPr>
            <w:r>
              <w:rPr>
                <w:rFonts w:eastAsiaTheme="minorEastAsia"/>
              </w:rPr>
              <w:t>Units</w:t>
            </w:r>
          </w:p>
        </w:tc>
        <w:tc>
          <w:tcPr>
            <w:tcW w:w="3270" w:type="dxa"/>
          </w:tcPr>
          <w:p w14:paraId="0DEA3A28" w14:textId="2263026A" w:rsidR="0045340A" w:rsidRDefault="0045340A" w:rsidP="008A4B5B">
            <w:pPr>
              <w:rPr>
                <w:rFonts w:eastAsiaTheme="minorEastAsia"/>
              </w:rPr>
            </w:pPr>
            <w:r>
              <w:rPr>
                <w:rFonts w:eastAsiaTheme="minorEastAsia"/>
              </w:rPr>
              <w:t>Notes</w:t>
            </w:r>
          </w:p>
        </w:tc>
        <w:tc>
          <w:tcPr>
            <w:tcW w:w="1912" w:type="dxa"/>
          </w:tcPr>
          <w:p w14:paraId="4856E1C0" w14:textId="78E896B3" w:rsidR="0045340A" w:rsidRDefault="0045340A" w:rsidP="008A4B5B">
            <w:pPr>
              <w:rPr>
                <w:rFonts w:eastAsiaTheme="minorEastAsia"/>
              </w:rPr>
            </w:pPr>
            <w:r>
              <w:rPr>
                <w:rFonts w:eastAsiaTheme="minorEastAsia"/>
              </w:rPr>
              <w:t>Reference</w:t>
            </w:r>
          </w:p>
        </w:tc>
      </w:tr>
      <w:tr w:rsidR="00AC4CC4" w14:paraId="29DD1053" w14:textId="77777777" w:rsidTr="00E84BAA">
        <w:trPr>
          <w:trHeight w:val="400"/>
        </w:trPr>
        <w:tc>
          <w:tcPr>
            <w:tcW w:w="1525" w:type="dxa"/>
          </w:tcPr>
          <w:p w14:paraId="2AE7941D" w14:textId="2743CAFB" w:rsidR="00AC4CC4" w:rsidRPr="0045340A" w:rsidRDefault="00AC4CC4" w:rsidP="00E84BAA">
            <w:pPr>
              <w:rPr>
                <w:rFonts w:eastAsiaTheme="minorEastAsia"/>
                <w:vertAlign w:val="subscript"/>
              </w:rPr>
            </w:pPr>
            <w:proofErr w:type="spellStart"/>
            <w:r>
              <w:rPr>
                <w:rFonts w:eastAsiaTheme="minorEastAsia"/>
              </w:rPr>
              <w:t>CY</w:t>
            </w:r>
            <w:r>
              <w:rPr>
                <w:rFonts w:eastAsiaTheme="minorEastAsia"/>
                <w:vertAlign w:val="subscript"/>
              </w:rPr>
              <w:t>biochar</w:t>
            </w:r>
            <w:proofErr w:type="spellEnd"/>
          </w:p>
        </w:tc>
        <w:tc>
          <w:tcPr>
            <w:tcW w:w="990" w:type="dxa"/>
          </w:tcPr>
          <w:p w14:paraId="1129EB5D" w14:textId="769710F8" w:rsidR="00AC4CC4" w:rsidRDefault="00AC4CC4" w:rsidP="00E84BAA">
            <w:pPr>
              <w:rPr>
                <w:rFonts w:eastAsiaTheme="minorEastAsia"/>
              </w:rPr>
            </w:pPr>
            <w:r>
              <w:rPr>
                <w:rFonts w:eastAsiaTheme="minorEastAsia"/>
              </w:rPr>
              <w:t>0.267</w:t>
            </w:r>
          </w:p>
        </w:tc>
        <w:tc>
          <w:tcPr>
            <w:tcW w:w="2070" w:type="dxa"/>
          </w:tcPr>
          <w:p w14:paraId="63B46787" w14:textId="7932ACB5" w:rsidR="00AC4CC4" w:rsidRDefault="00AC4CC4" w:rsidP="00E84BAA">
            <w:pPr>
              <w:rPr>
                <w:rFonts w:eastAsiaTheme="minorEastAsia"/>
              </w:rPr>
            </w:pPr>
            <w:r>
              <w:rPr>
                <w:rFonts w:eastAsiaTheme="minorEastAsia"/>
              </w:rPr>
              <w:t>kg C in biochar/kg C in biomass</w:t>
            </w:r>
          </w:p>
        </w:tc>
        <w:tc>
          <w:tcPr>
            <w:tcW w:w="3270" w:type="dxa"/>
          </w:tcPr>
          <w:p w14:paraId="19FE4F29" w14:textId="1F4C3BD8" w:rsidR="00AC4CC4" w:rsidRDefault="00AC4CC4" w:rsidP="00E84BAA">
            <w:pPr>
              <w:rPr>
                <w:rFonts w:eastAsiaTheme="minorEastAsia"/>
              </w:rPr>
            </w:pPr>
            <w:r>
              <w:rPr>
                <w:rFonts w:eastAsiaTheme="minorEastAsia"/>
              </w:rPr>
              <w:t xml:space="preserve">Biochar carbon yield from biomass </w:t>
            </w:r>
          </w:p>
        </w:tc>
        <w:tc>
          <w:tcPr>
            <w:tcW w:w="1912" w:type="dxa"/>
            <w:vMerge w:val="restart"/>
          </w:tcPr>
          <w:p w14:paraId="10370590" w14:textId="07ECB6DE" w:rsidR="00AC4CC4" w:rsidRDefault="00AC4CC4" w:rsidP="00E84BAA">
            <w:pPr>
              <w:rPr>
                <w:rFonts w:eastAsiaTheme="minorEastAsia"/>
              </w:rPr>
            </w:pPr>
            <w:r>
              <w:rPr>
                <w:rFonts w:eastAsiaTheme="minorEastAsia"/>
              </w:rPr>
              <w:fldChar w:fldCharType="begin" w:fldLock="1"/>
            </w:r>
            <w:r>
              <w:rPr>
                <w:rFonts w:eastAsiaTheme="minorEastAsia"/>
              </w:rPr>
              <w:instrText>ADDIN CSL_CITATION {"citationItems":[{"id":"ITEM-1","itemData":{"DOI":"10.1016/j.jaap.2019.104679","ISSN":"01652370","abstract":"The high ash content of agricultural residues and other kinds of herbaceous biomass makes it a challenging feedstock for fast pyrolysis to bio-oil. Using corn stover as a representative feedstock, this study investigates fast pyrolysis of high ash, herbaceous biomass in a pilot-scale fluidized bed reactor using both conventional, nitrogen-blown and autothermal, air-blown operation. Initial efforts to pyrolyze corn stover were challenged by bed fouling, which prevented steady reactor operation. Substitution of coarser bed material allowed operation at higher superficial velocities, which promoted attrition and elutriation of recalcitrant biochar particles from the reactor. This resulted in dramatic improvement in stable reactor operation for both conventional and autothermal pyrolysis with bio-oil yields among the highest reported for pyrolysis of corn stover. The oxygen-to-biomass equivalence ratio required for autothermal operation was 6.8%. Autothermal operation also resulted in significant process intensification, increasing corn stover throughput from 7.8 kg hr−1 to 21.9 kg hr−1 for this 8.9 cm diameter reactor. Air-blown, autothermal operation did not significantly reduce bio-oil yield despite the presence of partial oxidation reactions. Carbon balances indicate carbon yields of biochar and aqueous, bio-oil light ends decreased by 18.5% and 4.7%, respectively, during autothermal pyrolysis compared to conventional pyrolysis while the more valuable, organic-rich heavy ends of the bio-oil were essentially preserved.","author":[{"dropping-particle":"","family":"Polin","given":"Joseph P.","non-dropping-particle":"","parse-names":false,"suffix":""},{"dropping-particle":"","family":"Carr","given":"Howard D.","non-dropping-particle":"","parse-names":false,"suffix":""},{"dropping-particle":"","family":"Whitmer","given":"Lysle E.","non-dropping-particle":"","parse-names":false,"suffix":""},{"dropping-particle":"","family":"Smith","given":"Ryan G.","non-dropping-particle":"","parse-names":false,"suffix":""},{"dropping-particle":"","family":"Brown","given":"Robert C.","non-dropping-particle":"","parse-names":false,"suffix":""}],"container-title":"Journal of Analytical and Applied Pyrolysis","id":"ITEM-1","issue":"August","issued":{"date-parts":[["2019"]]},"page":"104679","publisher":"Elsevier","title":"Conventional and autothermal pyrolysis of corn stover: Overcoming the processing challenges of high-ash agricultural residues","type":"article-journal","volume":"143"},"uris":["http://www.mendeley.com/documents/?uuid=6e79fa6a-06fd-4a84-a98a-6a0a17c51970"]}],"mendeley":{"formattedCitation":"(Polin et al. 2019)","plainTextFormattedCitation":"(Polin et al. 2019)","previouslyFormattedCitation":"(Polin et al. 2019)"},"properties":{"noteIndex":0},"schema":"https://github.com/citation-style-language/schema/raw/master/csl-citation.json"}</w:instrText>
            </w:r>
            <w:r>
              <w:rPr>
                <w:rFonts w:eastAsiaTheme="minorEastAsia"/>
              </w:rPr>
              <w:fldChar w:fldCharType="separate"/>
            </w:r>
            <w:r w:rsidRPr="00A056CA">
              <w:rPr>
                <w:rFonts w:eastAsiaTheme="minorEastAsia"/>
                <w:noProof/>
              </w:rPr>
              <w:t>(Polin et al. 2019)</w:t>
            </w:r>
            <w:r>
              <w:rPr>
                <w:rFonts w:eastAsiaTheme="minorEastAsia"/>
              </w:rPr>
              <w:fldChar w:fldCharType="end"/>
            </w:r>
          </w:p>
        </w:tc>
      </w:tr>
      <w:tr w:rsidR="00AC4CC4" w14:paraId="440FC0EA" w14:textId="77777777" w:rsidTr="0045340A">
        <w:tc>
          <w:tcPr>
            <w:tcW w:w="1525" w:type="dxa"/>
          </w:tcPr>
          <w:p w14:paraId="20C7FDAC" w14:textId="28BAECDD" w:rsidR="00AC4CC4" w:rsidRPr="0045340A" w:rsidRDefault="00AC4CC4" w:rsidP="00E84BAA">
            <w:pPr>
              <w:rPr>
                <w:rFonts w:eastAsiaTheme="minorEastAsia"/>
                <w:vertAlign w:val="subscript"/>
              </w:rPr>
            </w:pPr>
            <w:proofErr w:type="spellStart"/>
            <w:r>
              <w:rPr>
                <w:rFonts w:eastAsiaTheme="minorEastAsia"/>
              </w:rPr>
              <w:t>C</w:t>
            </w:r>
            <w:r>
              <w:rPr>
                <w:rFonts w:eastAsiaTheme="minorEastAsia"/>
                <w:vertAlign w:val="subscript"/>
              </w:rPr>
              <w:t>biomass</w:t>
            </w:r>
            <w:proofErr w:type="spellEnd"/>
          </w:p>
        </w:tc>
        <w:tc>
          <w:tcPr>
            <w:tcW w:w="990" w:type="dxa"/>
          </w:tcPr>
          <w:p w14:paraId="335B67D5" w14:textId="6885B722" w:rsidR="00AC4CC4" w:rsidRDefault="00AC4CC4" w:rsidP="00E84BAA">
            <w:pPr>
              <w:rPr>
                <w:rFonts w:eastAsiaTheme="minorEastAsia"/>
              </w:rPr>
            </w:pPr>
            <w:r>
              <w:rPr>
                <w:rFonts w:eastAsiaTheme="minorEastAsia"/>
              </w:rPr>
              <w:t>0.47</w:t>
            </w:r>
          </w:p>
        </w:tc>
        <w:tc>
          <w:tcPr>
            <w:tcW w:w="2070" w:type="dxa"/>
          </w:tcPr>
          <w:p w14:paraId="34502AF1" w14:textId="42B89CF1" w:rsidR="00AC4CC4" w:rsidRDefault="00AC4CC4" w:rsidP="00E84BAA">
            <w:pPr>
              <w:rPr>
                <w:rFonts w:eastAsiaTheme="minorEastAsia"/>
              </w:rPr>
            </w:pPr>
            <w:r>
              <w:rPr>
                <w:rFonts w:eastAsiaTheme="minorEastAsia"/>
              </w:rPr>
              <w:t>kg C/kg biomass</w:t>
            </w:r>
          </w:p>
        </w:tc>
        <w:tc>
          <w:tcPr>
            <w:tcW w:w="3270" w:type="dxa"/>
          </w:tcPr>
          <w:p w14:paraId="5B639ABF" w14:textId="7154881B" w:rsidR="00AC4CC4" w:rsidRDefault="00AC4CC4" w:rsidP="00E84BAA">
            <w:pPr>
              <w:rPr>
                <w:rFonts w:eastAsiaTheme="minorEastAsia"/>
              </w:rPr>
            </w:pPr>
            <w:r>
              <w:rPr>
                <w:rFonts w:eastAsiaTheme="minorEastAsia"/>
              </w:rPr>
              <w:t>Carbon content in biomass</w:t>
            </w:r>
          </w:p>
        </w:tc>
        <w:tc>
          <w:tcPr>
            <w:tcW w:w="1912" w:type="dxa"/>
            <w:vMerge/>
          </w:tcPr>
          <w:p w14:paraId="54AB20A2" w14:textId="4C2FA898" w:rsidR="00AC4CC4" w:rsidRDefault="00AC4CC4" w:rsidP="00E84BAA">
            <w:pPr>
              <w:rPr>
                <w:rFonts w:eastAsiaTheme="minorEastAsia"/>
              </w:rPr>
            </w:pPr>
          </w:p>
        </w:tc>
      </w:tr>
      <w:tr w:rsidR="00AC4CC4" w14:paraId="223A5C63" w14:textId="77777777" w:rsidTr="0045340A">
        <w:tc>
          <w:tcPr>
            <w:tcW w:w="1525" w:type="dxa"/>
          </w:tcPr>
          <w:p w14:paraId="2B68B796" w14:textId="4C73B03F" w:rsidR="00AC4CC4" w:rsidRPr="0045340A" w:rsidRDefault="00AC4CC4" w:rsidP="00E84BAA">
            <w:pPr>
              <w:rPr>
                <w:rFonts w:eastAsiaTheme="minorEastAsia"/>
                <w:vertAlign w:val="subscript"/>
              </w:rPr>
            </w:pPr>
            <w:proofErr w:type="spellStart"/>
            <w:r>
              <w:rPr>
                <w:rFonts w:eastAsiaTheme="minorEastAsia"/>
              </w:rPr>
              <w:t>Y</w:t>
            </w:r>
            <w:r>
              <w:rPr>
                <w:rFonts w:eastAsiaTheme="minorEastAsia"/>
                <w:vertAlign w:val="subscript"/>
              </w:rPr>
              <w:t>biochar</w:t>
            </w:r>
            <w:proofErr w:type="spellEnd"/>
          </w:p>
        </w:tc>
        <w:tc>
          <w:tcPr>
            <w:tcW w:w="990" w:type="dxa"/>
          </w:tcPr>
          <w:p w14:paraId="6B57C284" w14:textId="75A00FBF" w:rsidR="00AC4CC4" w:rsidRDefault="00AC4CC4" w:rsidP="00E84BAA">
            <w:pPr>
              <w:rPr>
                <w:rFonts w:eastAsiaTheme="minorEastAsia"/>
              </w:rPr>
            </w:pPr>
            <w:r>
              <w:rPr>
                <w:rFonts w:eastAsiaTheme="minorEastAsia"/>
              </w:rPr>
              <w:t>0.197</w:t>
            </w:r>
          </w:p>
        </w:tc>
        <w:tc>
          <w:tcPr>
            <w:tcW w:w="2070" w:type="dxa"/>
          </w:tcPr>
          <w:p w14:paraId="57F2C977" w14:textId="0A0E4417" w:rsidR="00AC4CC4" w:rsidRDefault="00AC4CC4" w:rsidP="00E84BAA">
            <w:pPr>
              <w:rPr>
                <w:rFonts w:eastAsiaTheme="minorEastAsia"/>
              </w:rPr>
            </w:pPr>
            <w:r>
              <w:rPr>
                <w:rFonts w:eastAsiaTheme="minorEastAsia"/>
              </w:rPr>
              <w:t>kg biochar/kg biomass</w:t>
            </w:r>
          </w:p>
        </w:tc>
        <w:tc>
          <w:tcPr>
            <w:tcW w:w="3270" w:type="dxa"/>
          </w:tcPr>
          <w:p w14:paraId="518C5B89" w14:textId="516D18D5" w:rsidR="00AC4CC4" w:rsidRDefault="00AC4CC4" w:rsidP="00E84BAA">
            <w:pPr>
              <w:rPr>
                <w:rFonts w:eastAsiaTheme="minorEastAsia"/>
              </w:rPr>
            </w:pPr>
            <w:r>
              <w:rPr>
                <w:rFonts w:eastAsiaTheme="minorEastAsia"/>
              </w:rPr>
              <w:t>Biochar yield from biomass</w:t>
            </w:r>
          </w:p>
        </w:tc>
        <w:tc>
          <w:tcPr>
            <w:tcW w:w="1912" w:type="dxa"/>
            <w:vMerge/>
          </w:tcPr>
          <w:p w14:paraId="20CE37AB" w14:textId="17346ED3" w:rsidR="00AC4CC4" w:rsidRDefault="00AC4CC4" w:rsidP="00E84BAA">
            <w:pPr>
              <w:rPr>
                <w:rFonts w:eastAsiaTheme="minorEastAsia"/>
              </w:rPr>
            </w:pPr>
          </w:p>
        </w:tc>
      </w:tr>
      <w:tr w:rsidR="00AC4CC4" w14:paraId="4CAB2990" w14:textId="77777777" w:rsidTr="0045340A">
        <w:tc>
          <w:tcPr>
            <w:tcW w:w="1525" w:type="dxa"/>
          </w:tcPr>
          <w:p w14:paraId="7D069384" w14:textId="1D3818B2" w:rsidR="00AC4CC4" w:rsidRDefault="00AC4CC4" w:rsidP="00AC4CC4">
            <w:pPr>
              <w:rPr>
                <w:rFonts w:eastAsiaTheme="minorEastAsia"/>
              </w:rPr>
            </w:pPr>
            <w:proofErr w:type="spellStart"/>
            <w:r>
              <w:rPr>
                <w:rFonts w:eastAsiaTheme="minorEastAsia"/>
              </w:rPr>
              <w:t>C</w:t>
            </w:r>
            <w:r>
              <w:rPr>
                <w:rFonts w:eastAsiaTheme="minorEastAsia"/>
                <w:vertAlign w:val="subscript"/>
              </w:rPr>
              <w:t>biochar</w:t>
            </w:r>
            <w:proofErr w:type="spellEnd"/>
          </w:p>
        </w:tc>
        <w:tc>
          <w:tcPr>
            <w:tcW w:w="990" w:type="dxa"/>
          </w:tcPr>
          <w:p w14:paraId="005624F8" w14:textId="0C181898" w:rsidR="00AC4CC4" w:rsidRDefault="00AC4CC4" w:rsidP="00AC4CC4">
            <w:pPr>
              <w:rPr>
                <w:rFonts w:eastAsiaTheme="minorEastAsia"/>
              </w:rPr>
            </w:pPr>
            <w:r>
              <w:rPr>
                <w:rFonts w:eastAsiaTheme="minorEastAsia"/>
              </w:rPr>
              <w:t xml:space="preserve">0.637 </w:t>
            </w:r>
          </w:p>
        </w:tc>
        <w:tc>
          <w:tcPr>
            <w:tcW w:w="2070" w:type="dxa"/>
          </w:tcPr>
          <w:p w14:paraId="03D4F4DF" w14:textId="13742DFA" w:rsidR="00AC4CC4" w:rsidRDefault="00AC4CC4" w:rsidP="00AC4CC4">
            <w:pPr>
              <w:rPr>
                <w:rFonts w:eastAsiaTheme="minorEastAsia"/>
              </w:rPr>
            </w:pPr>
            <w:r>
              <w:rPr>
                <w:rFonts w:eastAsiaTheme="minorEastAsia"/>
              </w:rPr>
              <w:t>kg C/kg</w:t>
            </w:r>
          </w:p>
        </w:tc>
        <w:tc>
          <w:tcPr>
            <w:tcW w:w="3270" w:type="dxa"/>
          </w:tcPr>
          <w:p w14:paraId="1BC2BA06" w14:textId="6B14907B" w:rsidR="00AC4CC4" w:rsidRDefault="00AC4CC4" w:rsidP="00AC4CC4">
            <w:pPr>
              <w:rPr>
                <w:rFonts w:eastAsiaTheme="minorEastAsia"/>
              </w:rPr>
            </w:pPr>
            <w:r>
              <w:rPr>
                <w:rFonts w:eastAsiaTheme="minorEastAsia"/>
              </w:rPr>
              <w:t>Biochar carbon content</w:t>
            </w:r>
          </w:p>
        </w:tc>
        <w:tc>
          <w:tcPr>
            <w:tcW w:w="1912" w:type="dxa"/>
            <w:vMerge/>
          </w:tcPr>
          <w:p w14:paraId="18674412" w14:textId="4FFB8C74" w:rsidR="00AC4CC4" w:rsidRDefault="00AC4CC4" w:rsidP="00AC4CC4">
            <w:pPr>
              <w:rPr>
                <w:rFonts w:eastAsiaTheme="minorEastAsia"/>
              </w:rPr>
            </w:pPr>
          </w:p>
        </w:tc>
      </w:tr>
      <w:tr w:rsidR="00AC4CC4" w14:paraId="18E1D61B" w14:textId="77777777" w:rsidTr="0045340A">
        <w:tc>
          <w:tcPr>
            <w:tcW w:w="1525" w:type="dxa"/>
          </w:tcPr>
          <w:p w14:paraId="567CA047" w14:textId="1345A3BD" w:rsidR="00AC4CC4" w:rsidRDefault="00AC4CC4" w:rsidP="00AC4CC4">
            <w:pPr>
              <w:rPr>
                <w:rFonts w:eastAsiaTheme="minorEastAsia"/>
              </w:rPr>
            </w:pPr>
            <w:proofErr w:type="spellStart"/>
            <w:r>
              <w:rPr>
                <w:rFonts w:eastAsiaTheme="minorEastAsia"/>
              </w:rPr>
              <w:t>CR</w:t>
            </w:r>
            <w:r>
              <w:rPr>
                <w:rFonts w:eastAsiaTheme="minorEastAsia"/>
                <w:vertAlign w:val="subscript"/>
              </w:rPr>
              <w:t>biochar</w:t>
            </w:r>
            <w:proofErr w:type="spellEnd"/>
            <w:r>
              <w:rPr>
                <w:rFonts w:eastAsiaTheme="minorEastAsia"/>
              </w:rPr>
              <w:t xml:space="preserve"> </w:t>
            </w:r>
          </w:p>
        </w:tc>
        <w:tc>
          <w:tcPr>
            <w:tcW w:w="990" w:type="dxa"/>
          </w:tcPr>
          <w:p w14:paraId="061DA3C8" w14:textId="4354B438" w:rsidR="00AC4CC4" w:rsidRDefault="00AC4CC4" w:rsidP="00AC4CC4">
            <w:pPr>
              <w:rPr>
                <w:rFonts w:eastAsiaTheme="minorEastAsia"/>
              </w:rPr>
            </w:pPr>
            <w:r>
              <w:rPr>
                <w:rFonts w:eastAsiaTheme="minorEastAsia"/>
              </w:rPr>
              <w:t>0.7</w:t>
            </w:r>
          </w:p>
        </w:tc>
        <w:tc>
          <w:tcPr>
            <w:tcW w:w="2070" w:type="dxa"/>
          </w:tcPr>
          <w:p w14:paraId="4844E76B" w14:textId="152CEF72" w:rsidR="00AC4CC4" w:rsidRDefault="00AC4CC4" w:rsidP="00AC4CC4">
            <w:pPr>
              <w:rPr>
                <w:rFonts w:eastAsiaTheme="minorEastAsia"/>
              </w:rPr>
            </w:pPr>
            <w:r>
              <w:rPr>
                <w:rFonts w:eastAsiaTheme="minorEastAsia"/>
              </w:rPr>
              <w:t>kg C/kg C</w:t>
            </w:r>
          </w:p>
        </w:tc>
        <w:tc>
          <w:tcPr>
            <w:tcW w:w="3270" w:type="dxa"/>
          </w:tcPr>
          <w:p w14:paraId="7515AD76" w14:textId="12C2EC53" w:rsidR="00AC4CC4" w:rsidRDefault="00AC4CC4" w:rsidP="00AC4CC4">
            <w:pPr>
              <w:rPr>
                <w:rFonts w:eastAsiaTheme="minorEastAsia"/>
              </w:rPr>
            </w:pPr>
            <w:r>
              <w:rPr>
                <w:rFonts w:eastAsiaTheme="minorEastAsia"/>
              </w:rPr>
              <w:t>Biochar carbon sequestration rate after 100 years</w:t>
            </w:r>
          </w:p>
        </w:tc>
        <w:tc>
          <w:tcPr>
            <w:tcW w:w="1912" w:type="dxa"/>
          </w:tcPr>
          <w:p w14:paraId="3A20D6EB" w14:textId="10A06A2B" w:rsidR="00AC4CC4" w:rsidRDefault="00AC4CC4" w:rsidP="00AC4CC4">
            <w:pPr>
              <w:rPr>
                <w:rFonts w:eastAsiaTheme="minorEastAsia"/>
              </w:rPr>
            </w:pPr>
            <w:r>
              <w:rPr>
                <w:rFonts w:eastAsiaTheme="minorEastAsia"/>
              </w:rPr>
              <w:fldChar w:fldCharType="begin" w:fldLock="1"/>
            </w:r>
            <w:r>
              <w:rPr>
                <w:rFonts w:eastAsiaTheme="minorEastAsia"/>
              </w:rPr>
              <w:instrText>ADDIN CSL_CITATION {"citationItems":[{"id":"ITEM-1","itemData":{"abstract":"technology for negative carbon emissions. The stability of carbon in biochar is of major importance for the carbon sequestration value. A method for confident estimation of the stability is needed to make efficient priorities for the climate. The aim of this study is to identify the best available method that can be used to indicate the stability and quantify the carbon sequestration potential of biochar. The result builds on a literature review of the current state of scientific knowledge and the proposed method is tested with data from previous studies and then applied to the case of Stockholm Exergi. Biochar has a stable carbon structure, always more recalcitrant than the biomass that it derives from. However, estimations of how stable the carbon are varying a lot in the literature. Biochar is not unambiguously defined, there is rather a range of materials with different stability and the degradation is context dependent. Further discrepancy in the estimated stability derives from different experimental design and approaches to modeling the data. There is a challenge to do a proper estimation of the actual degradation, due to the long time perspective and the complexity of observation of behavior in a natural system. A functional method to indicate the stability of carbon in biochar is needed because a biochar producer cannot conduct a long term trial to prove the carbon sequestration potential. Several methods have in theory the ability to indicate stability. However, the H/Corg model with the expression BC+100 emerging to be the best suited method due to its connection to measured degradation, accessibility and acceptance. The H/Corg model could be further improved by calibration and validation by collecting existing data from previous assessments. Communication of the carbon sequestration after hundred years compared to other carbon sinks should be improved to better reflect the long term carbon sequestration value of biochar. Stockholm Exergi is planning for a biochar production of 5 000 ton/year. The H/Corg method estimate that this corresponds to 9 000 – 11 500 ton CO2 per year, stable for at least hundred years. The wide range in the result derives from the different interpretations on the H/Corg method, where the different interpretations derive from the variation that previous research result shows. This is an incentive to support further development of the method. The sequestered carbon in biochar must be protected in its application to ens…","author":[{"dropping-particle":"","family":"Söderqvist","given":"Helena","non-dropping-particle":"","parse-names":false,"suffix":""}],"id":"ITEM-1","issued":{"date-parts":[["2019"]]},"page":"41","title":"Carbon Stability of Biochar Methods for assessment and indication","type":"article-journal"},"uris":["http://www.mendeley.com/documents/?uuid=03156bea-4d4f-47ac-853b-9a66cc9709cd"]}],"mendeley":{"formattedCitation":"(Söderqvist 2019)","plainTextFormattedCitation":"(Söderqvist 2019)","previouslyFormattedCitation":"(Söderqvist 2019)"},"properties":{"noteIndex":0},"schema":"https://github.com/citation-style-language/schema/raw/master/csl-citation.json"}</w:instrText>
            </w:r>
            <w:r>
              <w:rPr>
                <w:rFonts w:eastAsiaTheme="minorEastAsia"/>
              </w:rPr>
              <w:fldChar w:fldCharType="separate"/>
            </w:r>
            <w:r w:rsidRPr="00DB3DD2">
              <w:rPr>
                <w:rFonts w:eastAsiaTheme="minorEastAsia"/>
                <w:noProof/>
              </w:rPr>
              <w:t>(Söderqvist 2019)</w:t>
            </w:r>
            <w:r>
              <w:rPr>
                <w:rFonts w:eastAsiaTheme="minorEastAsia"/>
              </w:rPr>
              <w:fldChar w:fldCharType="end"/>
            </w:r>
          </w:p>
        </w:tc>
      </w:tr>
      <w:tr w:rsidR="00AC4CC4" w14:paraId="02BAB151" w14:textId="77777777" w:rsidTr="0045340A">
        <w:tc>
          <w:tcPr>
            <w:tcW w:w="1525" w:type="dxa"/>
          </w:tcPr>
          <w:p w14:paraId="089F9D1E" w14:textId="259CBF08" w:rsidR="00AC4CC4" w:rsidRPr="00E84BAA" w:rsidRDefault="00AC4CC4" w:rsidP="00AC4CC4">
            <w:pPr>
              <w:rPr>
                <w:rFonts w:eastAsiaTheme="minorEastAsia"/>
                <w:vertAlign w:val="subscript"/>
              </w:rPr>
            </w:pPr>
            <w:proofErr w:type="spellStart"/>
            <w:r>
              <w:rPr>
                <w:rFonts w:eastAsiaTheme="minorEastAsia"/>
              </w:rPr>
              <w:t>EF</w:t>
            </w:r>
            <w:r>
              <w:rPr>
                <w:rFonts w:eastAsiaTheme="minorEastAsia"/>
                <w:vertAlign w:val="subscript"/>
              </w:rPr>
              <w:t>biochar</w:t>
            </w:r>
            <w:proofErr w:type="spellEnd"/>
          </w:p>
        </w:tc>
        <w:tc>
          <w:tcPr>
            <w:tcW w:w="990" w:type="dxa"/>
          </w:tcPr>
          <w:p w14:paraId="6E5B3899" w14:textId="71B62340" w:rsidR="00AC4CC4" w:rsidRDefault="00AC4CC4" w:rsidP="00AC4CC4">
            <w:pPr>
              <w:rPr>
                <w:rFonts w:eastAsiaTheme="minorEastAsia"/>
              </w:rPr>
            </w:pPr>
            <w:r>
              <w:rPr>
                <w:rFonts w:eastAsiaTheme="minorEastAsia"/>
              </w:rPr>
              <w:t>-1.63</w:t>
            </w:r>
          </w:p>
        </w:tc>
        <w:tc>
          <w:tcPr>
            <w:tcW w:w="2070" w:type="dxa"/>
          </w:tcPr>
          <w:p w14:paraId="3C974855" w14:textId="74AB9181" w:rsidR="00AC4CC4" w:rsidRPr="00E84BAA" w:rsidRDefault="00AC4CC4" w:rsidP="00AC4CC4">
            <w:pPr>
              <w:rPr>
                <w:rFonts w:eastAsiaTheme="minorEastAsia"/>
              </w:rPr>
            </w:pPr>
            <w:r>
              <w:rPr>
                <w:rFonts w:eastAsiaTheme="minorEastAsia"/>
              </w:rPr>
              <w:t>kg CO</w:t>
            </w:r>
            <w:r>
              <w:rPr>
                <w:rFonts w:eastAsiaTheme="minorEastAsia"/>
                <w:vertAlign w:val="subscript"/>
              </w:rPr>
              <w:t>2e</w:t>
            </w:r>
            <w:r>
              <w:rPr>
                <w:rFonts w:eastAsiaTheme="minorEastAsia"/>
              </w:rPr>
              <w:t>/kg biochar</w:t>
            </w:r>
          </w:p>
        </w:tc>
        <w:tc>
          <w:tcPr>
            <w:tcW w:w="3270" w:type="dxa"/>
          </w:tcPr>
          <w:p w14:paraId="12BEBD5F" w14:textId="3EB337E1" w:rsidR="00AC4CC4" w:rsidRDefault="00AC4CC4" w:rsidP="00AC4CC4">
            <w:pPr>
              <w:rPr>
                <w:rFonts w:eastAsiaTheme="minorEastAsia"/>
              </w:rPr>
            </w:pPr>
            <w:r>
              <w:rPr>
                <w:rFonts w:eastAsiaTheme="minorEastAsia"/>
              </w:rPr>
              <w:t>Biochar emission factor</w:t>
            </w:r>
          </w:p>
        </w:tc>
        <w:tc>
          <w:tcPr>
            <w:tcW w:w="1912" w:type="dxa"/>
          </w:tcPr>
          <w:p w14:paraId="3A73ACD8" w14:textId="1009BAEC" w:rsidR="00AC4CC4" w:rsidRDefault="00AC4CC4" w:rsidP="00AC4CC4">
            <w:pPr>
              <w:rPr>
                <w:rFonts w:eastAsiaTheme="minorEastAsia"/>
              </w:rPr>
            </w:pPr>
            <w:r>
              <w:rPr>
                <w:rFonts w:eastAsiaTheme="minorEastAsia"/>
              </w:rPr>
              <w:t>This study</w:t>
            </w:r>
          </w:p>
        </w:tc>
      </w:tr>
    </w:tbl>
    <w:p w14:paraId="4CE8A55D" w14:textId="58AE8271" w:rsidR="007A05BF" w:rsidRPr="00C94585" w:rsidRDefault="007A05BF" w:rsidP="00994A3D">
      <w:pPr>
        <w:jc w:val="both"/>
        <w:rPr>
          <w:rFonts w:cs="Times New Roman"/>
          <w:szCs w:val="24"/>
        </w:rPr>
      </w:pPr>
    </w:p>
    <w:p w14:paraId="4D059444" w14:textId="39CF0DE8" w:rsidR="00994A3D" w:rsidRPr="00994A3D" w:rsidRDefault="00654E8F" w:rsidP="0001436A">
      <w:pPr>
        <w:pStyle w:val="Heading1"/>
      </w:pPr>
      <w:r w:rsidRPr="00994A3D">
        <w:t xml:space="preserve">Supplementary Figures </w:t>
      </w:r>
    </w:p>
    <w:p w14:paraId="6A15DD4D" w14:textId="6269991E" w:rsidR="00994A3D" w:rsidRPr="002B4A57" w:rsidRDefault="0032705D" w:rsidP="002B4A57">
      <w:pPr>
        <w:rPr>
          <w:rFonts w:cs="Times New Roman"/>
          <w:szCs w:val="24"/>
          <w:u w:val="single"/>
        </w:rPr>
      </w:pPr>
      <w:r>
        <w:t>The following graphs are all mostly Kernel Density Estimation (KDE) generated sample graphs.</w:t>
      </w:r>
    </w:p>
    <w:p w14:paraId="5AEB95BC" w14:textId="1FDDAA0C" w:rsidR="003771FB" w:rsidRPr="003771FB" w:rsidRDefault="00994A3D" w:rsidP="003771FB">
      <w:pPr>
        <w:pStyle w:val="Heading2"/>
      </w:pPr>
      <w:r w:rsidRPr="0001436A">
        <w:t>Supplementary</w:t>
      </w:r>
      <w:r w:rsidRPr="001549D3">
        <w:t xml:space="preserve"> </w:t>
      </w:r>
      <w:r w:rsidR="002D5FF4">
        <w:t>f</w:t>
      </w:r>
      <w:r w:rsidRPr="001549D3">
        <w:t>igures</w:t>
      </w:r>
      <w:r w:rsidR="002D5FF4">
        <w:t xml:space="preserve"> for GAN and KDE comparison with real sample data</w:t>
      </w:r>
    </w:p>
    <w:p w14:paraId="548382CD" w14:textId="559BD731" w:rsidR="00AA5653" w:rsidRDefault="002D5FF4" w:rsidP="00AA5653">
      <w:pPr>
        <w:rPr>
          <w:noProof/>
        </w:rPr>
      </w:pPr>
      <w:r>
        <w:rPr>
          <w:noProof/>
        </w:rPr>
        <w:lastRenderedPageBreak/>
        <w:drawing>
          <wp:inline distT="0" distB="0" distL="0" distR="0" wp14:anchorId="686B6E4B" wp14:editId="5812BA8F">
            <wp:extent cx="6208395" cy="310451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08395" cy="3104515"/>
                    </a:xfrm>
                    <a:prstGeom prst="rect">
                      <a:avLst/>
                    </a:prstGeom>
                  </pic:spPr>
                </pic:pic>
              </a:graphicData>
            </a:graphic>
          </wp:inline>
        </w:drawing>
      </w:r>
    </w:p>
    <w:p w14:paraId="1ABD1F0D" w14:textId="0581359D" w:rsidR="003771FB" w:rsidRPr="003771FB" w:rsidRDefault="00AA5653" w:rsidP="00AA5653">
      <w:pPr>
        <w:rPr>
          <w:rFonts w:cs="Times New Roman"/>
          <w:szCs w:val="24"/>
        </w:rPr>
      </w:pPr>
      <w:r w:rsidRPr="0001436A">
        <w:rPr>
          <w:rFonts w:cs="Times New Roman"/>
          <w:b/>
          <w:szCs w:val="24"/>
        </w:rPr>
        <w:t xml:space="preserve">Supplementary Figure </w:t>
      </w:r>
      <w:r w:rsidRPr="0001436A">
        <w:rPr>
          <w:rFonts w:cs="Times New Roman"/>
          <w:b/>
          <w:szCs w:val="24"/>
        </w:rPr>
        <w:fldChar w:fldCharType="begin"/>
      </w:r>
      <w:r w:rsidRPr="0001436A">
        <w:rPr>
          <w:rFonts w:cs="Times New Roman"/>
          <w:b/>
          <w:szCs w:val="24"/>
        </w:rPr>
        <w:instrText xml:space="preserve"> SEQ Figure \* ARABIC </w:instrText>
      </w:r>
      <w:r w:rsidRPr="0001436A">
        <w:rPr>
          <w:rFonts w:cs="Times New Roman"/>
          <w:b/>
          <w:szCs w:val="24"/>
        </w:rPr>
        <w:fldChar w:fldCharType="separate"/>
      </w:r>
      <w:r>
        <w:rPr>
          <w:rFonts w:cs="Times New Roman"/>
          <w:b/>
          <w:noProof/>
          <w:szCs w:val="24"/>
        </w:rPr>
        <w:t>1</w:t>
      </w:r>
      <w:r w:rsidRPr="0001436A">
        <w:rPr>
          <w:rFonts w:cs="Times New Roman"/>
          <w:b/>
          <w:szCs w:val="24"/>
        </w:rPr>
        <w:fldChar w:fldCharType="end"/>
      </w:r>
      <w:r w:rsidRPr="0001436A">
        <w:rPr>
          <w:rFonts w:cs="Times New Roman"/>
          <w:b/>
          <w:szCs w:val="24"/>
        </w:rPr>
        <w:t>.</w:t>
      </w:r>
      <w:r w:rsidRPr="001549D3">
        <w:rPr>
          <w:rFonts w:cs="Times New Roman"/>
          <w:szCs w:val="24"/>
        </w:rPr>
        <w:t xml:space="preserve"> </w:t>
      </w:r>
      <w:r>
        <w:rPr>
          <w:rFonts w:cs="Times New Roman"/>
          <w:szCs w:val="24"/>
        </w:rPr>
        <w:t>Phyllis2 and INL (</w:t>
      </w:r>
      <w:r w:rsidRPr="002D5FF4">
        <w:rPr>
          <w:rFonts w:cs="Times New Roman"/>
          <w:b/>
          <w:bCs/>
          <w:szCs w:val="24"/>
        </w:rPr>
        <w:t>Left</w:t>
      </w:r>
      <w:r>
        <w:rPr>
          <w:rFonts w:cs="Times New Roman"/>
          <w:szCs w:val="24"/>
        </w:rPr>
        <w:t>) sample data vs. Generative Adversarial Network (GAN) (</w:t>
      </w:r>
      <w:r w:rsidRPr="002D5FF4">
        <w:rPr>
          <w:rFonts w:cs="Times New Roman"/>
          <w:b/>
          <w:bCs/>
          <w:szCs w:val="24"/>
        </w:rPr>
        <w:t>Right</w:t>
      </w:r>
      <w:r>
        <w:rPr>
          <w:rFonts w:cs="Times New Roman"/>
          <w:szCs w:val="24"/>
        </w:rPr>
        <w:t>) sample dat</w:t>
      </w:r>
      <w:r w:rsidR="003771FB">
        <w:rPr>
          <w:rFonts w:cs="Times New Roman"/>
          <w:szCs w:val="24"/>
        </w:rPr>
        <w:t>a</w:t>
      </w:r>
    </w:p>
    <w:p w14:paraId="4507CF73" w14:textId="6250ECDD" w:rsidR="00AA5653" w:rsidRDefault="002D5FF4" w:rsidP="00AA5653">
      <w:pPr>
        <w:keepNext/>
        <w:rPr>
          <w:rFonts w:cs="Times New Roman"/>
          <w:szCs w:val="24"/>
        </w:rPr>
      </w:pPr>
      <w:r>
        <w:rPr>
          <w:rFonts w:cs="Times New Roman"/>
          <w:noProof/>
          <w:szCs w:val="24"/>
        </w:rPr>
        <w:lastRenderedPageBreak/>
        <w:drawing>
          <wp:inline distT="0" distB="0" distL="0" distR="0" wp14:anchorId="21D2E14B" wp14:editId="19072529">
            <wp:extent cx="6208395" cy="3104515"/>
            <wp:effectExtent l="0" t="0" r="1905"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8395" cy="3104515"/>
                    </a:xfrm>
                    <a:prstGeom prst="rect">
                      <a:avLst/>
                    </a:prstGeom>
                  </pic:spPr>
                </pic:pic>
              </a:graphicData>
            </a:graphic>
          </wp:inline>
        </w:drawing>
      </w:r>
    </w:p>
    <w:p w14:paraId="0A860965" w14:textId="74219C8F" w:rsidR="00516B06" w:rsidRDefault="00994A3D" w:rsidP="00AA5653">
      <w:pPr>
        <w:keepNext/>
        <w:rPr>
          <w:rFonts w:cs="Times New Roman"/>
          <w:szCs w:val="24"/>
        </w:rPr>
      </w:pPr>
      <w:r w:rsidRPr="0001436A">
        <w:rPr>
          <w:rFonts w:cs="Times New Roman"/>
          <w:b/>
          <w:szCs w:val="24"/>
        </w:rPr>
        <w:t>Supplementary Figur</w:t>
      </w:r>
      <w:r w:rsidRPr="00AA5653">
        <w:rPr>
          <w:rFonts w:cs="Times New Roman"/>
          <w:b/>
          <w:bCs/>
          <w:szCs w:val="24"/>
        </w:rPr>
        <w:t xml:space="preserve">e </w:t>
      </w:r>
      <w:r w:rsidR="002D5FF4" w:rsidRPr="00AA5653">
        <w:rPr>
          <w:rFonts w:cs="Times New Roman"/>
          <w:b/>
          <w:bCs/>
          <w:szCs w:val="24"/>
        </w:rPr>
        <w:t>2</w:t>
      </w:r>
      <w:r w:rsidRPr="00AA5653">
        <w:rPr>
          <w:rFonts w:cs="Times New Roman"/>
          <w:b/>
          <w:bCs/>
          <w:szCs w:val="24"/>
        </w:rPr>
        <w:t>.</w:t>
      </w:r>
      <w:r w:rsidRPr="001549D3">
        <w:rPr>
          <w:rFonts w:cs="Times New Roman"/>
          <w:szCs w:val="24"/>
        </w:rPr>
        <w:t xml:space="preserve"> </w:t>
      </w:r>
      <w:r w:rsidR="002D5FF4" w:rsidRPr="00AA5653">
        <w:rPr>
          <w:rFonts w:cs="Times New Roman"/>
          <w:szCs w:val="24"/>
        </w:rPr>
        <w:t>Phyllis2 and INL (</w:t>
      </w:r>
      <w:r w:rsidR="002D5FF4" w:rsidRPr="00AA5653">
        <w:rPr>
          <w:b/>
          <w:bCs/>
        </w:rPr>
        <w:t>Left</w:t>
      </w:r>
      <w:r w:rsidR="002D5FF4" w:rsidRPr="00AA5653">
        <w:rPr>
          <w:rFonts w:cs="Times New Roman"/>
          <w:szCs w:val="24"/>
        </w:rPr>
        <w:t>) sample data vs. the Kernel Density Estimation (KDE) (</w:t>
      </w:r>
      <w:r w:rsidR="002D5FF4" w:rsidRPr="00AA5653">
        <w:rPr>
          <w:b/>
          <w:bCs/>
        </w:rPr>
        <w:t>R</w:t>
      </w:r>
      <w:r w:rsidR="002D5FF4" w:rsidRPr="00AA5653">
        <w:rPr>
          <w:rFonts w:cs="Times New Roman"/>
          <w:b/>
          <w:bCs/>
          <w:szCs w:val="24"/>
        </w:rPr>
        <w:t>ight</w:t>
      </w:r>
      <w:r w:rsidR="002D5FF4" w:rsidRPr="00AA5653">
        <w:rPr>
          <w:rFonts w:cs="Times New Roman"/>
          <w:szCs w:val="24"/>
        </w:rPr>
        <w:t>) sample data</w:t>
      </w:r>
    </w:p>
    <w:p w14:paraId="48800625" w14:textId="6A83E905" w:rsidR="00516B06" w:rsidRDefault="00516B06" w:rsidP="006C6CCC">
      <w:pPr>
        <w:pStyle w:val="Heading2"/>
        <w:keepNext/>
      </w:pPr>
      <w:r w:rsidRPr="0001436A">
        <w:t>Supplementary</w:t>
      </w:r>
      <w:r w:rsidRPr="001549D3">
        <w:t xml:space="preserve"> </w:t>
      </w:r>
      <w:r>
        <w:t>f</w:t>
      </w:r>
      <w:r w:rsidRPr="001549D3">
        <w:t>igures</w:t>
      </w:r>
      <w:r>
        <w:t xml:space="preserve"> obtained from 3000 plus data generated through KDE </w:t>
      </w:r>
    </w:p>
    <w:p w14:paraId="618F6372" w14:textId="3439E23F" w:rsidR="00516B06" w:rsidRDefault="00516B06" w:rsidP="00516B06">
      <w:r>
        <w:rPr>
          <w:noProof/>
        </w:rPr>
        <w:drawing>
          <wp:inline distT="0" distB="0" distL="0" distR="0" wp14:anchorId="66D7D1B6" wp14:editId="517DB5AD">
            <wp:extent cx="5486400" cy="3657600"/>
            <wp:effectExtent l="0" t="0" r="0" b="0"/>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graphical user interfac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3EF5B8E" w14:textId="48162995" w:rsidR="00516B06" w:rsidRDefault="00516B06" w:rsidP="00516B06">
      <w:pPr>
        <w:keepNext/>
        <w:rPr>
          <w:rFonts w:cs="Times New Roman"/>
          <w:szCs w:val="24"/>
        </w:rPr>
      </w:pPr>
      <w:r w:rsidRPr="0001436A">
        <w:rPr>
          <w:rFonts w:cs="Times New Roman"/>
          <w:b/>
          <w:szCs w:val="24"/>
        </w:rPr>
        <w:lastRenderedPageBreak/>
        <w:t>Supplementary Figur</w:t>
      </w:r>
      <w:r w:rsidRPr="00AA5653">
        <w:rPr>
          <w:rFonts w:cs="Times New Roman"/>
          <w:b/>
          <w:bCs/>
          <w:szCs w:val="24"/>
        </w:rPr>
        <w:t xml:space="preserve">e </w:t>
      </w:r>
      <w:r>
        <w:rPr>
          <w:rFonts w:cs="Times New Roman"/>
          <w:b/>
          <w:bCs/>
          <w:szCs w:val="24"/>
        </w:rPr>
        <w:t>3</w:t>
      </w:r>
      <w:r w:rsidRPr="00AA5653">
        <w:rPr>
          <w:rFonts w:cs="Times New Roman"/>
          <w:b/>
          <w:bCs/>
          <w:szCs w:val="24"/>
        </w:rPr>
        <w:t>.</w:t>
      </w:r>
      <w:r w:rsidRPr="001549D3">
        <w:rPr>
          <w:rFonts w:cs="Times New Roman"/>
          <w:szCs w:val="24"/>
        </w:rPr>
        <w:t xml:space="preserve"> </w:t>
      </w:r>
      <w:r>
        <w:rPr>
          <w:rFonts w:cs="Times New Roman"/>
          <w:szCs w:val="24"/>
        </w:rPr>
        <w:t>Sugar, phenolic oil, and biochar autothermal pyrolysis yield vs. cellulose content</w:t>
      </w:r>
      <w:r w:rsidRPr="00AA5653">
        <w:rPr>
          <w:rFonts w:cs="Times New Roman"/>
          <w:szCs w:val="24"/>
        </w:rPr>
        <w:t xml:space="preserve"> </w:t>
      </w:r>
    </w:p>
    <w:p w14:paraId="15461777" w14:textId="1D635B09" w:rsidR="00516B06" w:rsidRDefault="00516B06" w:rsidP="00516B06">
      <w:pPr>
        <w:keepNext/>
        <w:rPr>
          <w:rFonts w:cs="Times New Roman"/>
          <w:szCs w:val="24"/>
        </w:rPr>
      </w:pPr>
      <w:r>
        <w:rPr>
          <w:rFonts w:cs="Times New Roman"/>
          <w:noProof/>
          <w:szCs w:val="24"/>
        </w:rPr>
        <w:drawing>
          <wp:inline distT="0" distB="0" distL="0" distR="0" wp14:anchorId="07A8269D" wp14:editId="0436CB24">
            <wp:extent cx="5486400" cy="3657600"/>
            <wp:effectExtent l="0" t="0" r="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6C4DB49" w14:textId="2F580098" w:rsidR="00516B06" w:rsidRDefault="00516B06" w:rsidP="00516B06">
      <w:pPr>
        <w:keepNext/>
        <w:rPr>
          <w:rFonts w:cs="Times New Roman"/>
          <w:szCs w:val="24"/>
        </w:rPr>
      </w:pPr>
      <w:r w:rsidRPr="0001436A">
        <w:rPr>
          <w:rFonts w:cs="Times New Roman"/>
          <w:b/>
          <w:szCs w:val="24"/>
        </w:rPr>
        <w:t>Supplementary Figur</w:t>
      </w:r>
      <w:r w:rsidRPr="00AA5653">
        <w:rPr>
          <w:rFonts w:cs="Times New Roman"/>
          <w:b/>
          <w:bCs/>
          <w:szCs w:val="24"/>
        </w:rPr>
        <w:t xml:space="preserve">e </w:t>
      </w:r>
      <w:r>
        <w:rPr>
          <w:rFonts w:cs="Times New Roman"/>
          <w:b/>
          <w:bCs/>
          <w:szCs w:val="24"/>
        </w:rPr>
        <w:t>4</w:t>
      </w:r>
      <w:r w:rsidRPr="00AA5653">
        <w:rPr>
          <w:rFonts w:cs="Times New Roman"/>
          <w:b/>
          <w:bCs/>
          <w:szCs w:val="24"/>
        </w:rPr>
        <w:t>.</w:t>
      </w:r>
      <w:r w:rsidRPr="001549D3">
        <w:rPr>
          <w:rFonts w:cs="Times New Roman"/>
          <w:szCs w:val="24"/>
        </w:rPr>
        <w:t xml:space="preserve"> </w:t>
      </w:r>
      <w:r>
        <w:rPr>
          <w:rFonts w:cs="Times New Roman"/>
          <w:szCs w:val="24"/>
        </w:rPr>
        <w:t>Product yield relationships to hemicellulose/cellulose ratios</w:t>
      </w:r>
    </w:p>
    <w:p w14:paraId="5E1B80FD" w14:textId="665EC746" w:rsidR="00516B06" w:rsidRDefault="00516B06" w:rsidP="00516B06">
      <w:pPr>
        <w:keepNext/>
        <w:rPr>
          <w:rFonts w:cs="Times New Roman"/>
          <w:szCs w:val="24"/>
        </w:rPr>
      </w:pPr>
      <w:r>
        <w:rPr>
          <w:rFonts w:cs="Times New Roman"/>
          <w:noProof/>
          <w:szCs w:val="24"/>
        </w:rPr>
        <w:drawing>
          <wp:inline distT="0" distB="0" distL="0" distR="0" wp14:anchorId="3252021C" wp14:editId="0932E98D">
            <wp:extent cx="5486400" cy="3657600"/>
            <wp:effectExtent l="0" t="0" r="0" b="0"/>
            <wp:docPr id="11" name="Picture 11"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8C499BA" w14:textId="54E7D1CB" w:rsidR="00516B06" w:rsidRDefault="00516B06" w:rsidP="00516B06">
      <w:pPr>
        <w:keepNext/>
        <w:rPr>
          <w:rFonts w:cs="Times New Roman"/>
          <w:szCs w:val="24"/>
        </w:rPr>
      </w:pPr>
      <w:r w:rsidRPr="0001436A">
        <w:rPr>
          <w:rFonts w:cs="Times New Roman"/>
          <w:b/>
          <w:szCs w:val="24"/>
        </w:rPr>
        <w:lastRenderedPageBreak/>
        <w:t>Supplementary Figur</w:t>
      </w:r>
      <w:r w:rsidRPr="00AA5653">
        <w:rPr>
          <w:rFonts w:cs="Times New Roman"/>
          <w:b/>
          <w:bCs/>
          <w:szCs w:val="24"/>
        </w:rPr>
        <w:t xml:space="preserve">e </w:t>
      </w:r>
      <w:r>
        <w:rPr>
          <w:rFonts w:cs="Times New Roman"/>
          <w:b/>
          <w:bCs/>
          <w:szCs w:val="24"/>
        </w:rPr>
        <w:t>5</w:t>
      </w:r>
      <w:r w:rsidRPr="00AA5653">
        <w:rPr>
          <w:rFonts w:cs="Times New Roman"/>
          <w:b/>
          <w:bCs/>
          <w:szCs w:val="24"/>
        </w:rPr>
        <w:t>.</w:t>
      </w:r>
      <w:r w:rsidRPr="001549D3">
        <w:rPr>
          <w:rFonts w:cs="Times New Roman"/>
          <w:szCs w:val="24"/>
        </w:rPr>
        <w:t xml:space="preserve"> </w:t>
      </w:r>
      <w:r>
        <w:rPr>
          <w:rFonts w:cs="Times New Roman"/>
          <w:szCs w:val="24"/>
        </w:rPr>
        <w:t>Product yield relationships to lignin/cellulose ratios</w:t>
      </w:r>
    </w:p>
    <w:p w14:paraId="5C6837AE" w14:textId="6F1D9465" w:rsidR="00516B06" w:rsidRDefault="00B15C09" w:rsidP="00516B06">
      <w:pPr>
        <w:keepNext/>
        <w:rPr>
          <w:rFonts w:cs="Times New Roman"/>
          <w:szCs w:val="24"/>
        </w:rPr>
      </w:pPr>
      <w:r>
        <w:rPr>
          <w:rFonts w:cs="Times New Roman"/>
          <w:noProof/>
          <w:szCs w:val="24"/>
        </w:rPr>
        <w:drawing>
          <wp:inline distT="0" distB="0" distL="0" distR="0" wp14:anchorId="5CD2E6F8" wp14:editId="1129CA07">
            <wp:extent cx="5486400" cy="3657600"/>
            <wp:effectExtent l="0" t="0" r="0" b="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AF508A7" w14:textId="4CF12FB0" w:rsidR="00516B06" w:rsidRDefault="00516B06" w:rsidP="00516B06">
      <w:pPr>
        <w:keepNext/>
        <w:rPr>
          <w:rFonts w:cs="Times New Roman"/>
          <w:szCs w:val="24"/>
        </w:rPr>
      </w:pPr>
      <w:r w:rsidRPr="0001436A">
        <w:rPr>
          <w:rFonts w:cs="Times New Roman"/>
          <w:b/>
          <w:szCs w:val="24"/>
        </w:rPr>
        <w:t>Supplementary Figur</w:t>
      </w:r>
      <w:r w:rsidRPr="00AA5653">
        <w:rPr>
          <w:rFonts w:cs="Times New Roman"/>
          <w:b/>
          <w:bCs/>
          <w:szCs w:val="24"/>
        </w:rPr>
        <w:t xml:space="preserve">e </w:t>
      </w:r>
      <w:r w:rsidR="00E102D9">
        <w:rPr>
          <w:rFonts w:cs="Times New Roman"/>
          <w:b/>
          <w:bCs/>
          <w:szCs w:val="24"/>
        </w:rPr>
        <w:t>6</w:t>
      </w:r>
      <w:r w:rsidRPr="00AA5653">
        <w:rPr>
          <w:rFonts w:cs="Times New Roman"/>
          <w:b/>
          <w:bCs/>
          <w:szCs w:val="24"/>
        </w:rPr>
        <w:t>.</w:t>
      </w:r>
      <w:r w:rsidRPr="001549D3">
        <w:rPr>
          <w:rFonts w:cs="Times New Roman"/>
          <w:szCs w:val="24"/>
        </w:rPr>
        <w:t xml:space="preserve"> </w:t>
      </w:r>
      <w:r>
        <w:rPr>
          <w:rFonts w:cs="Times New Roman"/>
          <w:szCs w:val="24"/>
        </w:rPr>
        <w:t>Boxplot comparison of the historical sugar price (</w:t>
      </w:r>
      <w:r w:rsidRPr="00673C36">
        <w:rPr>
          <w:rFonts w:cs="Times New Roman"/>
          <w:b/>
          <w:bCs/>
          <w:szCs w:val="24"/>
        </w:rPr>
        <w:t>Left</w:t>
      </w:r>
      <w:r>
        <w:rPr>
          <w:rFonts w:cs="Times New Roman"/>
          <w:szCs w:val="24"/>
        </w:rPr>
        <w:t xml:space="preserve">) and </w:t>
      </w:r>
      <w:r w:rsidR="00673C36">
        <w:rPr>
          <w:rFonts w:cs="Times New Roman"/>
          <w:szCs w:val="24"/>
        </w:rPr>
        <w:t>KDE minimum sugar selling price (MSSP)</w:t>
      </w:r>
      <w:r>
        <w:rPr>
          <w:rFonts w:cs="Times New Roman"/>
          <w:szCs w:val="24"/>
        </w:rPr>
        <w:t xml:space="preserve"> </w:t>
      </w:r>
    </w:p>
    <w:p w14:paraId="7AFD44B7" w14:textId="6AC55CBB" w:rsidR="00673C36" w:rsidRDefault="00CB1CA2" w:rsidP="00516B06">
      <w:pPr>
        <w:keepNext/>
        <w:rPr>
          <w:rFonts w:cs="Times New Roman"/>
          <w:szCs w:val="24"/>
        </w:rPr>
      </w:pPr>
      <w:r>
        <w:rPr>
          <w:rFonts w:cs="Times New Roman"/>
          <w:noProof/>
          <w:szCs w:val="24"/>
        </w:rPr>
        <w:lastRenderedPageBreak/>
        <w:drawing>
          <wp:inline distT="0" distB="0" distL="0" distR="0" wp14:anchorId="3083688C" wp14:editId="239ACCE0">
            <wp:extent cx="6208395" cy="4515485"/>
            <wp:effectExtent l="0" t="0" r="1905" b="5715"/>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08395" cy="4515485"/>
                    </a:xfrm>
                    <a:prstGeom prst="rect">
                      <a:avLst/>
                    </a:prstGeom>
                  </pic:spPr>
                </pic:pic>
              </a:graphicData>
            </a:graphic>
          </wp:inline>
        </w:drawing>
      </w:r>
    </w:p>
    <w:p w14:paraId="55DE175E" w14:textId="642AA533" w:rsidR="00E102D9" w:rsidRDefault="00E102D9" w:rsidP="00E102D9">
      <w:pPr>
        <w:keepNext/>
        <w:rPr>
          <w:rFonts w:cs="Times New Roman"/>
          <w:szCs w:val="24"/>
        </w:rPr>
      </w:pPr>
      <w:r w:rsidRPr="0001436A">
        <w:rPr>
          <w:rFonts w:cs="Times New Roman"/>
          <w:b/>
          <w:szCs w:val="24"/>
        </w:rPr>
        <w:t>Supplementary Figur</w:t>
      </w:r>
      <w:r w:rsidRPr="00AA5653">
        <w:rPr>
          <w:rFonts w:cs="Times New Roman"/>
          <w:b/>
          <w:bCs/>
          <w:szCs w:val="24"/>
        </w:rPr>
        <w:t xml:space="preserve">e </w:t>
      </w:r>
      <w:r>
        <w:rPr>
          <w:rFonts w:cs="Times New Roman"/>
          <w:b/>
          <w:bCs/>
          <w:szCs w:val="24"/>
        </w:rPr>
        <w:t>7</w:t>
      </w:r>
      <w:r w:rsidRPr="00AA5653">
        <w:rPr>
          <w:rFonts w:cs="Times New Roman"/>
          <w:b/>
          <w:bCs/>
          <w:szCs w:val="24"/>
        </w:rPr>
        <w:t>.</w:t>
      </w:r>
      <w:r w:rsidRPr="001549D3">
        <w:rPr>
          <w:rFonts w:cs="Times New Roman"/>
          <w:szCs w:val="24"/>
        </w:rPr>
        <w:t xml:space="preserve"> </w:t>
      </w:r>
      <w:r>
        <w:rPr>
          <w:rFonts w:cs="Times New Roman"/>
          <w:szCs w:val="24"/>
        </w:rPr>
        <w:t>Probability density vs. GHG emission of the ATP system producing sugar, phenolic oil, and biochar</w:t>
      </w:r>
    </w:p>
    <w:p w14:paraId="39D4EC14" w14:textId="386D66F0" w:rsidR="003771FB" w:rsidRDefault="003771FB" w:rsidP="003771FB">
      <w:pPr>
        <w:pStyle w:val="Heading1"/>
      </w:pPr>
      <w:r w:rsidRPr="00994A3D">
        <w:t xml:space="preserve">Supplementary </w:t>
      </w:r>
      <w:r>
        <w:t xml:space="preserve">References </w:t>
      </w:r>
    </w:p>
    <w:p w14:paraId="2AEC5133" w14:textId="0259DA7D" w:rsidR="003771FB" w:rsidRPr="003771FB" w:rsidRDefault="003771FB" w:rsidP="003771FB">
      <w:pPr>
        <w:widowControl w:val="0"/>
        <w:autoSpaceDE w:val="0"/>
        <w:autoSpaceDN w:val="0"/>
        <w:adjustRightInd w:val="0"/>
        <w:ind w:left="480" w:hanging="480"/>
        <w:rPr>
          <w:rFonts w:cs="Times New Roman"/>
          <w:noProof/>
        </w:rPr>
      </w:pPr>
      <w:r>
        <w:fldChar w:fldCharType="begin" w:fldLock="1"/>
      </w:r>
      <w:r>
        <w:instrText xml:space="preserve">ADDIN Mendeley Bibliography CSL_BIBLIOGRAPHY </w:instrText>
      </w:r>
      <w:r>
        <w:fldChar w:fldCharType="separate"/>
      </w:r>
      <w:r w:rsidRPr="003771FB">
        <w:rPr>
          <w:rFonts w:cs="Times New Roman"/>
          <w:noProof/>
        </w:rPr>
        <w:t xml:space="preserve">Elliott, Douglas C., Huamin Wang, Marjorie Rover, Lysle Whitmer, Ryan Smith, and Robert Brown. 2015. “Hydrocarbon Liquid Production via Catalytic Hydroprocessing of Phenolic Oils Fractionated from Fast Pyrolysis of Red Oak and Corn Stover.” </w:t>
      </w:r>
      <w:r w:rsidRPr="003771FB">
        <w:rPr>
          <w:rFonts w:cs="Times New Roman"/>
          <w:i/>
          <w:iCs/>
          <w:noProof/>
        </w:rPr>
        <w:t>ACS Sustainable Chemistry and Engineering</w:t>
      </w:r>
      <w:r w:rsidRPr="003771FB">
        <w:rPr>
          <w:rFonts w:cs="Times New Roman"/>
          <w:noProof/>
        </w:rPr>
        <w:t xml:space="preserve"> 3 (5): 892–902. https://doi.org/10.1021/acssuschemeng.5b00015.</w:t>
      </w:r>
    </w:p>
    <w:p w14:paraId="46F3E632" w14:textId="77777777" w:rsidR="003771FB" w:rsidRPr="003771FB" w:rsidRDefault="003771FB" w:rsidP="003771FB">
      <w:pPr>
        <w:widowControl w:val="0"/>
        <w:autoSpaceDE w:val="0"/>
        <w:autoSpaceDN w:val="0"/>
        <w:adjustRightInd w:val="0"/>
        <w:ind w:left="480" w:hanging="480"/>
        <w:rPr>
          <w:rFonts w:cs="Times New Roman"/>
          <w:noProof/>
        </w:rPr>
      </w:pPr>
      <w:r w:rsidRPr="003771FB">
        <w:rPr>
          <w:rFonts w:cs="Times New Roman"/>
          <w:noProof/>
        </w:rPr>
        <w:t xml:space="preserve">Polin, Joseph P., Howard D. Carr, Lysle E. Whitmer, Ryan G. Smith, and Robert C. Brown. 2019. “Conventional and Autothermal Pyrolysis of Corn Stover: Overcoming the Processing Challenges of High-Ash Agricultural Residues.” </w:t>
      </w:r>
      <w:r w:rsidRPr="003771FB">
        <w:rPr>
          <w:rFonts w:cs="Times New Roman"/>
          <w:i/>
          <w:iCs/>
          <w:noProof/>
        </w:rPr>
        <w:t>Journal of Analytical and Applied Pyrolysis</w:t>
      </w:r>
      <w:r w:rsidRPr="003771FB">
        <w:rPr>
          <w:rFonts w:cs="Times New Roman"/>
          <w:noProof/>
        </w:rPr>
        <w:t xml:space="preserve"> 143 (August): 104679. https://doi.org/10.1016/j.jaap.2019.104679.</w:t>
      </w:r>
    </w:p>
    <w:p w14:paraId="15D2EFBF" w14:textId="77777777" w:rsidR="003771FB" w:rsidRPr="003771FB" w:rsidRDefault="003771FB" w:rsidP="003771FB">
      <w:pPr>
        <w:widowControl w:val="0"/>
        <w:autoSpaceDE w:val="0"/>
        <w:autoSpaceDN w:val="0"/>
        <w:adjustRightInd w:val="0"/>
        <w:ind w:left="480" w:hanging="480"/>
        <w:rPr>
          <w:rFonts w:cs="Times New Roman"/>
          <w:noProof/>
        </w:rPr>
      </w:pPr>
      <w:r w:rsidRPr="003771FB">
        <w:rPr>
          <w:rFonts w:cs="Times New Roman"/>
          <w:noProof/>
        </w:rPr>
        <w:t>Söderqvist, Helena. 2019. “Carbon Stability of Biochar Methods for Assessment and Indication,” 41. http://kth.diva-portal.org/smash/get/diva2:1334635/FULLTEXT01.pdf.</w:t>
      </w:r>
    </w:p>
    <w:p w14:paraId="58443539" w14:textId="77777777" w:rsidR="003771FB" w:rsidRPr="003771FB" w:rsidRDefault="003771FB" w:rsidP="003771FB">
      <w:pPr>
        <w:widowControl w:val="0"/>
        <w:autoSpaceDE w:val="0"/>
        <w:autoSpaceDN w:val="0"/>
        <w:adjustRightInd w:val="0"/>
        <w:ind w:left="480" w:hanging="480"/>
        <w:rPr>
          <w:rFonts w:cs="Times New Roman"/>
          <w:noProof/>
        </w:rPr>
      </w:pPr>
      <w:r w:rsidRPr="003771FB">
        <w:rPr>
          <w:rFonts w:cs="Times New Roman"/>
          <w:noProof/>
        </w:rPr>
        <w:t xml:space="preserve">Zhou, Xinxing, Taher Baghaee Moghaddam, Meizhu Chen, Shaopeng Wu, Sanjeev Adhikari, Song Xu, and Chao Yang. 2020. “Life Cycle Assessment of Biochar Modified Bioasphalt Derived from Biomass.” </w:t>
      </w:r>
      <w:r w:rsidRPr="003771FB">
        <w:rPr>
          <w:rFonts w:cs="Times New Roman"/>
          <w:i/>
          <w:iCs/>
          <w:noProof/>
        </w:rPr>
        <w:t>ACS Sustainable Chemistry and Engineering</w:t>
      </w:r>
      <w:r w:rsidRPr="003771FB">
        <w:rPr>
          <w:rFonts w:cs="Times New Roman"/>
          <w:noProof/>
        </w:rPr>
        <w:t xml:space="preserve"> 8 (38): 14568–75. https://doi.org/10.1021/acssuschemeng.0c05355.</w:t>
      </w:r>
    </w:p>
    <w:p w14:paraId="13DCB2A4" w14:textId="76DEB616" w:rsidR="00E102D9" w:rsidRPr="00AC4CC4" w:rsidRDefault="003771FB" w:rsidP="00AC4CC4">
      <w:r>
        <w:lastRenderedPageBreak/>
        <w:fldChar w:fldCharType="end"/>
      </w:r>
    </w:p>
    <w:p w14:paraId="5D0FBF0A" w14:textId="77777777" w:rsidR="00516B06" w:rsidRDefault="00516B06" w:rsidP="00516B06">
      <w:pPr>
        <w:keepNext/>
        <w:rPr>
          <w:rFonts w:cs="Times New Roman"/>
          <w:szCs w:val="24"/>
        </w:rPr>
      </w:pPr>
    </w:p>
    <w:p w14:paraId="2BA96A0C" w14:textId="77777777" w:rsidR="00516B06" w:rsidRPr="00516B06" w:rsidRDefault="00516B06" w:rsidP="00516B06"/>
    <w:p w14:paraId="288449AA" w14:textId="3AABAB4F" w:rsidR="00516B06" w:rsidRPr="00AA5653" w:rsidRDefault="00516B06" w:rsidP="00AA5653">
      <w:pPr>
        <w:keepNext/>
        <w:rPr>
          <w:rFonts w:cs="Times New Roman"/>
          <w:szCs w:val="24"/>
        </w:rPr>
      </w:pPr>
    </w:p>
    <w:p w14:paraId="7B65BC41" w14:textId="77777777" w:rsidR="00DE23E8" w:rsidRPr="002D5FF4" w:rsidRDefault="00DE23E8" w:rsidP="00654E8F">
      <w:pPr>
        <w:spacing w:before="240"/>
      </w:pPr>
    </w:p>
    <w:sectPr w:rsidR="00DE23E8" w:rsidRPr="002D5FF4" w:rsidSect="0093429D">
      <w:headerReference w:type="even" r:id="rId15"/>
      <w:footerReference w:type="even" r:id="rId16"/>
      <w:footerReference w:type="default" r:id="rId17"/>
      <w:headerReference w:type="first" r:id="rId18"/>
      <w:pgSz w:w="12240" w:h="15840"/>
      <w:pgMar w:top="1138" w:right="1181" w:bottom="1138" w:left="128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8A13B" w14:textId="77777777" w:rsidR="00E16369" w:rsidRDefault="00E16369" w:rsidP="00117666">
      <w:pPr>
        <w:spacing w:after="0"/>
      </w:pPr>
      <w:r>
        <w:separator/>
      </w:r>
    </w:p>
  </w:endnote>
  <w:endnote w:type="continuationSeparator" w:id="0">
    <w:p w14:paraId="03974878" w14:textId="77777777" w:rsidR="00E16369" w:rsidRDefault="00E16369"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3025F" w14:textId="77777777" w:rsidR="00995F6A" w:rsidRPr="00577C4C" w:rsidRDefault="00C52A7B">
    <w:pPr>
      <w:rPr>
        <w:color w:val="C00000"/>
        <w:szCs w:val="24"/>
      </w:rPr>
    </w:pPr>
    <w:r>
      <w:rPr>
        <w:noProof/>
        <w:lang w:val="en-GB" w:eastAsia="en-GB"/>
      </w:rPr>
      <mc:AlternateContent>
        <mc:Choice Requires="wps">
          <w:drawing>
            <wp:anchor distT="0" distB="0" distL="114300" distR="114300" simplePos="0" relativeHeight="251659264" behindDoc="0" locked="0" layoutInCell="1" allowOverlap="1" wp14:anchorId="382EAD14" wp14:editId="71B2BC98">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0BC4D33"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82EAD14" id="_x0000_t202" coordsize="21600,21600" o:spt="202" path="m,l,21600r21600,l21600,xe">
              <v:stroke joinstyle="miter"/>
              <v:path gradientshapeok="t" o:connecttype="rect"/>
            </v:shapetype>
            <v:shape id="Text Box 1"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" filled="f" stroked="f" strokeweight=".5pt">
              <v:textbox style="mso-fit-shape-to-text:t">
                <w:txbxContent>
                  <w:p w14:paraId="50BC4D33"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D6A35" w14:textId="77777777" w:rsidR="00995F6A" w:rsidRPr="00577C4C" w:rsidRDefault="00C52A7B">
    <w:pP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70F9F55F" wp14:editId="40473BEB">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70F0D09"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0F9F55F"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" filled="f" stroked="f" strokeweight=".5pt">
              <v:textbox style="mso-fit-shape-to-text:t">
                <w:txbxContent>
                  <w:p w14:paraId="570F0D09"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8DA15" w14:textId="77777777" w:rsidR="00E16369" w:rsidRDefault="00E16369" w:rsidP="00117666">
      <w:pPr>
        <w:spacing w:after="0"/>
      </w:pPr>
      <w:r>
        <w:separator/>
      </w:r>
    </w:p>
  </w:footnote>
  <w:footnote w:type="continuationSeparator" w:id="0">
    <w:p w14:paraId="3A663E21" w14:textId="77777777" w:rsidR="00E16369" w:rsidRDefault="00E16369"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F00C" w14:textId="77777777" w:rsidR="00995F6A" w:rsidRPr="009151AA" w:rsidRDefault="00C52A7B">
    <w:pPr>
      <w:rPr>
        <w:rFonts w:cs="Times New Roman"/>
      </w:rPr>
    </w:pPr>
    <w:r w:rsidRPr="009151AA">
      <w:rPr>
        <w:rFonts w:cs="Times New Roman"/>
      </w:rPr>
      <w:ptab w:relativeTo="margin" w:alignment="center" w:leader="none"/>
    </w:r>
    <w:r w:rsidRPr="009151AA">
      <w:rPr>
        <w:rFonts w:cs="Times New Roman"/>
      </w:rPr>
      <w:ptab w:relativeTo="margin" w:alignment="right" w:leader="none"/>
    </w:r>
    <w:r w:rsidR="001549D3" w:rsidRPr="009151AA">
      <w:rPr>
        <w:rFonts w:cs="Times New Roman"/>
      </w:rPr>
      <w:t>Supplementary Material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D68C6" w14:textId="77777777" w:rsidR="00995F6A" w:rsidRDefault="0093429D" w:rsidP="0093429D">
    <w:r w:rsidRPr="005A1D84">
      <w:rPr>
        <w:b/>
        <w:noProof/>
        <w:color w:val="A6A6A6" w:themeColor="background1" w:themeShade="A6"/>
        <w:lang w:val="en-GB" w:eastAsia="en-GB"/>
      </w:rPr>
      <w:drawing>
        <wp:inline distT="0" distB="0" distL="0" distR="0" wp14:anchorId="07D26A56" wp14:editId="2E460F0E">
          <wp:extent cx="1382534" cy="497091"/>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rsidRPr="007E3148">
      <w:rPr>
        <w:b/>
      </w:rPr>
      <w:ptab w:relativeTo="margin" w:alignment="center" w:leader="none"/>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0601A"/>
    <w:multiLevelType w:val="multilevel"/>
    <w:tmpl w:val="2D740DB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57F09E7"/>
    <w:multiLevelType w:val="hybridMultilevel"/>
    <w:tmpl w:val="B83A043C"/>
    <w:lvl w:ilvl="0" w:tplc="CF625E3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abstractNumId w:val="0"/>
  </w:num>
  <w:num w:numId="2">
    <w:abstractNumId w:val="5"/>
  </w:num>
  <w:num w:numId="3">
    <w:abstractNumId w:val="1"/>
  </w:num>
  <w:num w:numId="4">
    <w:abstractNumId w:val="6"/>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7"/>
  </w:num>
  <w:num w:numId="8">
    <w:abstractNumId w:val="7"/>
  </w:num>
  <w:num w:numId="9">
    <w:abstractNumId w:val="7"/>
  </w:num>
  <w:num w:numId="10">
    <w:abstractNumId w:val="7"/>
  </w:num>
  <w:num w:numId="11">
    <w:abstractNumId w:val="7"/>
  </w:num>
  <w:num w:numId="12">
    <w:abstractNumId w:val="7"/>
  </w:num>
  <w:num w:numId="13">
    <w:abstractNumId w:val="3"/>
  </w:num>
  <w:num w:numId="14">
    <w:abstractNumId w:val="2"/>
  </w:num>
  <w:num w:numId="15">
    <w:abstractNumId w:val="2"/>
  </w:num>
  <w:num w:numId="16">
    <w:abstractNumId w:val="2"/>
  </w:num>
  <w:num w:numId="17">
    <w:abstractNumId w:val="2"/>
  </w:num>
  <w:num w:numId="18">
    <w:abstractNumId w:val="2"/>
  </w:num>
  <w:num w:numId="19">
    <w:abstractNumId w:val="2"/>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B5"/>
    <w:rsid w:val="0001436A"/>
    <w:rsid w:val="00034304"/>
    <w:rsid w:val="00035434"/>
    <w:rsid w:val="00052745"/>
    <w:rsid w:val="00052A14"/>
    <w:rsid w:val="00066985"/>
    <w:rsid w:val="00077D53"/>
    <w:rsid w:val="00081124"/>
    <w:rsid w:val="00105FD9"/>
    <w:rsid w:val="00117666"/>
    <w:rsid w:val="001549D3"/>
    <w:rsid w:val="00160065"/>
    <w:rsid w:val="00177D84"/>
    <w:rsid w:val="00267D18"/>
    <w:rsid w:val="00274347"/>
    <w:rsid w:val="002868E2"/>
    <w:rsid w:val="002869C3"/>
    <w:rsid w:val="002936E4"/>
    <w:rsid w:val="002B4A57"/>
    <w:rsid w:val="002C74CA"/>
    <w:rsid w:val="002D5FF4"/>
    <w:rsid w:val="003123F4"/>
    <w:rsid w:val="0032705D"/>
    <w:rsid w:val="003544FB"/>
    <w:rsid w:val="003771FB"/>
    <w:rsid w:val="003D2F2D"/>
    <w:rsid w:val="00401590"/>
    <w:rsid w:val="00445264"/>
    <w:rsid w:val="00447801"/>
    <w:rsid w:val="0045015A"/>
    <w:rsid w:val="00452E9C"/>
    <w:rsid w:val="0045340A"/>
    <w:rsid w:val="004735C8"/>
    <w:rsid w:val="004859C5"/>
    <w:rsid w:val="004947A6"/>
    <w:rsid w:val="004961FF"/>
    <w:rsid w:val="004D13B8"/>
    <w:rsid w:val="004F39A2"/>
    <w:rsid w:val="00516B06"/>
    <w:rsid w:val="00517A89"/>
    <w:rsid w:val="005250F2"/>
    <w:rsid w:val="00593EEA"/>
    <w:rsid w:val="005A5EEE"/>
    <w:rsid w:val="005E6C24"/>
    <w:rsid w:val="006375C7"/>
    <w:rsid w:val="00654E8F"/>
    <w:rsid w:val="00660D05"/>
    <w:rsid w:val="00673C36"/>
    <w:rsid w:val="006820B1"/>
    <w:rsid w:val="006B7D14"/>
    <w:rsid w:val="00701727"/>
    <w:rsid w:val="0070566C"/>
    <w:rsid w:val="00714C50"/>
    <w:rsid w:val="00725A7D"/>
    <w:rsid w:val="007501BE"/>
    <w:rsid w:val="00784326"/>
    <w:rsid w:val="00790BB3"/>
    <w:rsid w:val="007A05BF"/>
    <w:rsid w:val="007C206C"/>
    <w:rsid w:val="00817DD6"/>
    <w:rsid w:val="0083759F"/>
    <w:rsid w:val="00885156"/>
    <w:rsid w:val="009151AA"/>
    <w:rsid w:val="0093429D"/>
    <w:rsid w:val="00943573"/>
    <w:rsid w:val="00964134"/>
    <w:rsid w:val="00970F7D"/>
    <w:rsid w:val="00994A3D"/>
    <w:rsid w:val="009C2B12"/>
    <w:rsid w:val="00A056CA"/>
    <w:rsid w:val="00A174D9"/>
    <w:rsid w:val="00AA4D24"/>
    <w:rsid w:val="00AA5653"/>
    <w:rsid w:val="00AB6715"/>
    <w:rsid w:val="00AC4CC4"/>
    <w:rsid w:val="00B15C09"/>
    <w:rsid w:val="00B1671E"/>
    <w:rsid w:val="00B25EB8"/>
    <w:rsid w:val="00B37F4D"/>
    <w:rsid w:val="00C52A7B"/>
    <w:rsid w:val="00C56BAF"/>
    <w:rsid w:val="00C679AA"/>
    <w:rsid w:val="00C75972"/>
    <w:rsid w:val="00C94585"/>
    <w:rsid w:val="00CA09A1"/>
    <w:rsid w:val="00CB1CA2"/>
    <w:rsid w:val="00CD066B"/>
    <w:rsid w:val="00CE4FEE"/>
    <w:rsid w:val="00D01D9E"/>
    <w:rsid w:val="00D060CF"/>
    <w:rsid w:val="00D23DBE"/>
    <w:rsid w:val="00D253E1"/>
    <w:rsid w:val="00DB3DD2"/>
    <w:rsid w:val="00DB59C3"/>
    <w:rsid w:val="00DC259A"/>
    <w:rsid w:val="00DD1CCC"/>
    <w:rsid w:val="00DE23E8"/>
    <w:rsid w:val="00DF5276"/>
    <w:rsid w:val="00E102D9"/>
    <w:rsid w:val="00E16369"/>
    <w:rsid w:val="00E52377"/>
    <w:rsid w:val="00E537AD"/>
    <w:rsid w:val="00E64E17"/>
    <w:rsid w:val="00E84BAA"/>
    <w:rsid w:val="00E866C9"/>
    <w:rsid w:val="00EA3D3C"/>
    <w:rsid w:val="00EB7C82"/>
    <w:rsid w:val="00EC090A"/>
    <w:rsid w:val="00ED20B5"/>
    <w:rsid w:val="00EE088A"/>
    <w:rsid w:val="00F46900"/>
    <w:rsid w:val="00F61D89"/>
    <w:rsid w:val="00F647F5"/>
    <w:rsid w:val="00FD1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DB94A"/>
  <w15:docId w15:val="{88748FF8-5D22-488D-A39B-60AD9369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715"/>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AB6715"/>
    <w:pPr>
      <w:numPr>
        <w:numId w:val="19"/>
      </w:numPr>
      <w:spacing w:before="240"/>
      <w:contextualSpacing w:val="0"/>
      <w:outlineLvl w:val="0"/>
    </w:pPr>
    <w:rPr>
      <w:b/>
    </w:rPr>
  </w:style>
  <w:style w:type="paragraph" w:styleId="Heading2">
    <w:name w:val="heading 2"/>
    <w:basedOn w:val="Heading1"/>
    <w:next w:val="Normal"/>
    <w:link w:val="Heading2Char"/>
    <w:uiPriority w:val="2"/>
    <w:qFormat/>
    <w:rsid w:val="00AB6715"/>
    <w:pPr>
      <w:numPr>
        <w:ilvl w:val="1"/>
      </w:numPr>
      <w:spacing w:after="200"/>
      <w:outlineLvl w:val="1"/>
    </w:pPr>
  </w:style>
  <w:style w:type="paragraph" w:styleId="Heading3">
    <w:name w:val="heading 3"/>
    <w:basedOn w:val="Normal"/>
    <w:next w:val="Normal"/>
    <w:link w:val="Heading3Char"/>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AB6715"/>
    <w:pPr>
      <w:numPr>
        <w:ilvl w:val="3"/>
      </w:numPr>
      <w:outlineLvl w:val="3"/>
    </w:pPr>
    <w:rPr>
      <w:iCs/>
    </w:rPr>
  </w:style>
  <w:style w:type="paragraph" w:styleId="Heading5">
    <w:name w:val="heading 5"/>
    <w:basedOn w:val="Heading4"/>
    <w:next w:val="Normal"/>
    <w:link w:val="Heading5Char"/>
    <w:uiPriority w:val="2"/>
    <w:qFormat/>
    <w:rsid w:val="00AB6715"/>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AB671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AB6715"/>
    <w:rPr>
      <w:rFonts w:ascii="Times New Roman" w:eastAsia="Cambria" w:hAnsi="Times New Roman" w:cs="Times New Roman"/>
      <w:b/>
      <w:sz w:val="24"/>
      <w:szCs w:val="24"/>
    </w:rPr>
  </w:style>
  <w:style w:type="paragraph" w:styleId="Subtitle">
    <w:name w:val="Subtitle"/>
    <w:basedOn w:val="Normal"/>
    <w:next w:val="Normal"/>
    <w:link w:val="SubtitleChar"/>
    <w:uiPriority w:val="99"/>
    <w:unhideWhenUsed/>
    <w:qFormat/>
    <w:rsid w:val="00AB6715"/>
    <w:pPr>
      <w:spacing w:before="240"/>
    </w:pPr>
    <w:rPr>
      <w:rFonts w:cs="Times New Roman"/>
      <w:b/>
      <w:szCs w:val="24"/>
    </w:rPr>
  </w:style>
  <w:style w:type="character" w:customStyle="1" w:styleId="SubtitleChar">
    <w:name w:val="Subtitle Char"/>
    <w:basedOn w:val="DefaultParagraphFont"/>
    <w:link w:val="Subtitle"/>
    <w:uiPriority w:val="99"/>
    <w:rsid w:val="00AB6715"/>
    <w:rPr>
      <w:rFonts w:ascii="Times New Roman" w:hAnsi="Times New Roman" w:cs="Times New Roman"/>
      <w:b/>
      <w:sz w:val="24"/>
      <w:szCs w:val="24"/>
    </w:rPr>
  </w:style>
  <w:style w:type="paragraph" w:customStyle="1" w:styleId="AuthorList">
    <w:name w:val="Author List"/>
    <w:aliases w:val="Keywords,Abstract"/>
    <w:basedOn w:val="Subtitle"/>
    <w:next w:val="Normal"/>
    <w:uiPriority w:val="1"/>
    <w:qFormat/>
    <w:rsid w:val="00AB6715"/>
  </w:style>
  <w:style w:type="paragraph" w:styleId="BalloonText">
    <w:name w:val="Balloon Text"/>
    <w:basedOn w:val="Normal"/>
    <w:link w:val="BalloonTextChar"/>
    <w:uiPriority w:val="99"/>
    <w:semiHidden/>
    <w:unhideWhenUsed/>
    <w:rsid w:val="00AB67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715"/>
    <w:rPr>
      <w:rFonts w:ascii="Tahoma" w:hAnsi="Tahoma" w:cs="Tahoma"/>
      <w:sz w:val="16"/>
      <w:szCs w:val="16"/>
    </w:rPr>
  </w:style>
  <w:style w:type="character" w:styleId="BookTitle">
    <w:name w:val="Book Title"/>
    <w:basedOn w:val="DefaultParagraphFont"/>
    <w:uiPriority w:val="33"/>
    <w:qFormat/>
    <w:rsid w:val="00AB6715"/>
    <w:rPr>
      <w:rFonts w:ascii="Times New Roman" w:hAnsi="Times New Roman"/>
      <w:b/>
      <w:bCs/>
      <w:i/>
      <w:iCs/>
      <w:spacing w:val="5"/>
    </w:rPr>
  </w:style>
  <w:style w:type="paragraph" w:styleId="Caption">
    <w:name w:val="caption"/>
    <w:basedOn w:val="Normal"/>
    <w:next w:val="NoSpacing"/>
    <w:uiPriority w:val="35"/>
    <w:unhideWhenUsed/>
    <w:qFormat/>
    <w:rsid w:val="00AB6715"/>
    <w:pPr>
      <w:keepNext/>
    </w:pPr>
    <w:rPr>
      <w:rFonts w:cs="Times New Roman"/>
      <w:b/>
      <w:bCs/>
      <w:szCs w:val="24"/>
    </w:rPr>
  </w:style>
  <w:style w:type="paragraph" w:styleId="NoSpacing">
    <w:name w:val="No Spacing"/>
    <w:uiPriority w:val="99"/>
    <w:unhideWhenUsed/>
    <w:qFormat/>
    <w:rsid w:val="00AB6715"/>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B6715"/>
    <w:rPr>
      <w:sz w:val="16"/>
      <w:szCs w:val="16"/>
    </w:rPr>
  </w:style>
  <w:style w:type="paragraph" w:styleId="CommentText">
    <w:name w:val="annotation text"/>
    <w:basedOn w:val="Normal"/>
    <w:link w:val="CommentTextChar"/>
    <w:uiPriority w:val="99"/>
    <w:semiHidden/>
    <w:unhideWhenUsed/>
    <w:rsid w:val="00AB6715"/>
    <w:rPr>
      <w:sz w:val="20"/>
      <w:szCs w:val="20"/>
    </w:rPr>
  </w:style>
  <w:style w:type="character" w:customStyle="1" w:styleId="CommentTextChar">
    <w:name w:val="Comment Text Char"/>
    <w:basedOn w:val="DefaultParagraphFont"/>
    <w:link w:val="CommentText"/>
    <w:uiPriority w:val="99"/>
    <w:semiHidden/>
    <w:rsid w:val="00AB67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6715"/>
    <w:rPr>
      <w:b/>
      <w:bCs/>
    </w:rPr>
  </w:style>
  <w:style w:type="character" w:customStyle="1" w:styleId="CommentSubjectChar">
    <w:name w:val="Comment Subject Char"/>
    <w:basedOn w:val="CommentTextChar"/>
    <w:link w:val="CommentSubject"/>
    <w:uiPriority w:val="99"/>
    <w:semiHidden/>
    <w:rsid w:val="00AB6715"/>
    <w:rPr>
      <w:rFonts w:ascii="Times New Roman" w:hAnsi="Times New Roman"/>
      <w:b/>
      <w:bCs/>
      <w:sz w:val="20"/>
      <w:szCs w:val="20"/>
    </w:rPr>
  </w:style>
  <w:style w:type="character" w:styleId="Emphasis">
    <w:name w:val="Emphasis"/>
    <w:basedOn w:val="DefaultParagraphFont"/>
    <w:uiPriority w:val="20"/>
    <w:qFormat/>
    <w:rsid w:val="00AB6715"/>
    <w:rPr>
      <w:rFonts w:ascii="Times New Roman" w:hAnsi="Times New Roman"/>
      <w:i/>
      <w:iCs/>
    </w:rPr>
  </w:style>
  <w:style w:type="character" w:styleId="EndnoteReference">
    <w:name w:val="endnote reference"/>
    <w:basedOn w:val="DefaultParagraphFont"/>
    <w:uiPriority w:val="99"/>
    <w:semiHidden/>
    <w:unhideWhenUsed/>
    <w:rsid w:val="00AB6715"/>
    <w:rPr>
      <w:vertAlign w:val="superscript"/>
    </w:rPr>
  </w:style>
  <w:style w:type="paragraph" w:styleId="EndnoteText">
    <w:name w:val="endnote text"/>
    <w:basedOn w:val="Normal"/>
    <w:link w:val="EndnoteTextChar"/>
    <w:uiPriority w:val="99"/>
    <w:semiHidden/>
    <w:unhideWhenUsed/>
    <w:rsid w:val="00AB6715"/>
    <w:pPr>
      <w:spacing w:after="0"/>
    </w:pPr>
    <w:rPr>
      <w:sz w:val="20"/>
      <w:szCs w:val="20"/>
    </w:rPr>
  </w:style>
  <w:style w:type="character" w:customStyle="1" w:styleId="EndnoteTextChar">
    <w:name w:val="Endnote Text Char"/>
    <w:basedOn w:val="DefaultParagraphFont"/>
    <w:link w:val="EndnoteText"/>
    <w:uiPriority w:val="99"/>
    <w:semiHidden/>
    <w:rsid w:val="00AB6715"/>
    <w:rPr>
      <w:rFonts w:ascii="Times New Roman" w:hAnsi="Times New Roman"/>
      <w:sz w:val="20"/>
      <w:szCs w:val="20"/>
    </w:rPr>
  </w:style>
  <w:style w:type="character" w:styleId="FollowedHyperlink">
    <w:name w:val="FollowedHyperlink"/>
    <w:basedOn w:val="DefaultParagraphFont"/>
    <w:uiPriority w:val="99"/>
    <w:semiHidden/>
    <w:unhideWhenUsed/>
    <w:rsid w:val="00AB6715"/>
    <w:rPr>
      <w:color w:val="800080" w:themeColor="followedHyperlink"/>
      <w:u w:val="single"/>
    </w:rPr>
  </w:style>
  <w:style w:type="paragraph" w:styleId="Footer">
    <w:name w:val="footer"/>
    <w:basedOn w:val="Normal"/>
    <w:link w:val="FooterChar"/>
    <w:uiPriority w:val="99"/>
    <w:unhideWhenUsed/>
    <w:rsid w:val="00AB6715"/>
    <w:pPr>
      <w:tabs>
        <w:tab w:val="center" w:pos="4844"/>
        <w:tab w:val="right" w:pos="9689"/>
      </w:tabs>
      <w:spacing w:after="0"/>
    </w:pPr>
  </w:style>
  <w:style w:type="character" w:customStyle="1" w:styleId="FooterChar">
    <w:name w:val="Footer Char"/>
    <w:basedOn w:val="DefaultParagraphFont"/>
    <w:link w:val="Footer"/>
    <w:uiPriority w:val="99"/>
    <w:rsid w:val="00AB6715"/>
    <w:rPr>
      <w:rFonts w:ascii="Times New Roman" w:hAnsi="Times New Roman"/>
      <w:sz w:val="24"/>
    </w:rPr>
  </w:style>
  <w:style w:type="character" w:styleId="FootnoteReference">
    <w:name w:val="footnote reference"/>
    <w:basedOn w:val="DefaultParagraphFont"/>
    <w:uiPriority w:val="99"/>
    <w:semiHidden/>
    <w:unhideWhenUsed/>
    <w:rsid w:val="00AB6715"/>
    <w:rPr>
      <w:vertAlign w:val="superscript"/>
    </w:rPr>
  </w:style>
  <w:style w:type="paragraph" w:styleId="FootnoteText">
    <w:name w:val="footnote text"/>
    <w:basedOn w:val="Normal"/>
    <w:link w:val="FootnoteTextChar"/>
    <w:uiPriority w:val="99"/>
    <w:semiHidden/>
    <w:unhideWhenUsed/>
    <w:rsid w:val="00AB6715"/>
    <w:pPr>
      <w:spacing w:after="0"/>
    </w:pPr>
    <w:rPr>
      <w:sz w:val="20"/>
      <w:szCs w:val="20"/>
    </w:rPr>
  </w:style>
  <w:style w:type="character" w:customStyle="1" w:styleId="FootnoteTextChar">
    <w:name w:val="Footnote Text Char"/>
    <w:basedOn w:val="DefaultParagraphFont"/>
    <w:link w:val="FootnoteText"/>
    <w:uiPriority w:val="99"/>
    <w:semiHidden/>
    <w:rsid w:val="00AB6715"/>
    <w:rPr>
      <w:rFonts w:ascii="Times New Roman" w:hAnsi="Times New Roman"/>
      <w:sz w:val="20"/>
      <w:szCs w:val="20"/>
    </w:rPr>
  </w:style>
  <w:style w:type="paragraph" w:styleId="Header">
    <w:name w:val="header"/>
    <w:basedOn w:val="Normal"/>
    <w:link w:val="HeaderChar"/>
    <w:uiPriority w:val="99"/>
    <w:unhideWhenUsed/>
    <w:rsid w:val="00AB6715"/>
    <w:pPr>
      <w:tabs>
        <w:tab w:val="center" w:pos="4844"/>
        <w:tab w:val="right" w:pos="9689"/>
      </w:tabs>
    </w:pPr>
    <w:rPr>
      <w:b/>
    </w:rPr>
  </w:style>
  <w:style w:type="character" w:customStyle="1" w:styleId="HeaderChar">
    <w:name w:val="Header Char"/>
    <w:basedOn w:val="DefaultParagraphFont"/>
    <w:link w:val="Header"/>
    <w:uiPriority w:val="99"/>
    <w:rsid w:val="00AB6715"/>
    <w:rPr>
      <w:rFonts w:ascii="Times New Roman" w:hAnsi="Times New Roman"/>
      <w:b/>
      <w:sz w:val="24"/>
    </w:rPr>
  </w:style>
  <w:style w:type="paragraph" w:styleId="ListParagraph">
    <w:name w:val="List Paragraph"/>
    <w:basedOn w:val="Normal"/>
    <w:uiPriority w:val="3"/>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Hyperlink">
    <w:name w:val="Hyperlink"/>
    <w:basedOn w:val="DefaultParagraphFont"/>
    <w:uiPriority w:val="99"/>
    <w:unhideWhenUsed/>
    <w:rsid w:val="00AB6715"/>
    <w:rPr>
      <w:color w:val="0000FF"/>
      <w:u w:val="single"/>
    </w:rPr>
  </w:style>
  <w:style w:type="character" w:styleId="IntenseEmphasis">
    <w:name w:val="Intense Emphasis"/>
    <w:basedOn w:val="DefaultParagraphFont"/>
    <w:uiPriority w:val="21"/>
    <w:unhideWhenUsed/>
    <w:rsid w:val="00AB6715"/>
    <w:rPr>
      <w:rFonts w:ascii="Times New Roman" w:hAnsi="Times New Roman"/>
      <w:i/>
      <w:iCs/>
      <w:color w:val="auto"/>
    </w:rPr>
  </w:style>
  <w:style w:type="character" w:styleId="IntenseReference">
    <w:name w:val="Intense Reference"/>
    <w:basedOn w:val="DefaultParagraphFont"/>
    <w:uiPriority w:val="32"/>
    <w:qFormat/>
    <w:rsid w:val="00AB6715"/>
    <w:rPr>
      <w:b/>
      <w:bCs/>
      <w:smallCaps/>
      <w:color w:val="auto"/>
      <w:spacing w:val="5"/>
    </w:rPr>
  </w:style>
  <w:style w:type="character" w:styleId="LineNumber">
    <w:name w:val="line number"/>
    <w:basedOn w:val="DefaultParagraphFont"/>
    <w:uiPriority w:val="99"/>
    <w:semiHidden/>
    <w:unhideWhenUsed/>
    <w:rsid w:val="00AB6715"/>
  </w:style>
  <w:style w:type="character" w:customStyle="1" w:styleId="Heading3Char">
    <w:name w:val="Heading 3 Char"/>
    <w:basedOn w:val="DefaultParagraphFont"/>
    <w:link w:val="Heading3"/>
    <w:uiPriority w:val="2"/>
    <w:rsid w:val="00AB67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AB6715"/>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AB6715"/>
    <w:rPr>
      <w:rFonts w:ascii="Times New Roman" w:eastAsiaTheme="majorEastAsia" w:hAnsi="Times New Roman" w:cstheme="majorBidi"/>
      <w:b/>
      <w:iCs/>
      <w:sz w:val="24"/>
      <w:szCs w:val="24"/>
    </w:rPr>
  </w:style>
  <w:style w:type="paragraph" w:styleId="NormalWeb">
    <w:name w:val="Normal (Web)"/>
    <w:basedOn w:val="Normal"/>
    <w:uiPriority w:val="99"/>
    <w:unhideWhenUsed/>
    <w:rsid w:val="00AB6715"/>
    <w:pPr>
      <w:spacing w:before="100" w:beforeAutospacing="1" w:after="100" w:afterAutospacing="1"/>
    </w:pPr>
    <w:rPr>
      <w:rFonts w:eastAsia="Times New Roman" w:cs="Times New Roman"/>
      <w:szCs w:val="24"/>
    </w:rPr>
  </w:style>
  <w:style w:type="paragraph" w:styleId="Quote">
    <w:name w:val="Quote"/>
    <w:basedOn w:val="Normal"/>
    <w:next w:val="Normal"/>
    <w:link w:val="QuoteChar"/>
    <w:uiPriority w:val="29"/>
    <w:qFormat/>
    <w:rsid w:val="00AB67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6715"/>
    <w:rPr>
      <w:rFonts w:ascii="Times New Roman" w:hAnsi="Times New Roman"/>
      <w:i/>
      <w:iCs/>
      <w:color w:val="404040" w:themeColor="text1" w:themeTint="BF"/>
      <w:sz w:val="24"/>
    </w:rPr>
  </w:style>
  <w:style w:type="character" w:styleId="Strong">
    <w:name w:val="Strong"/>
    <w:basedOn w:val="DefaultParagraphFont"/>
    <w:uiPriority w:val="22"/>
    <w:qFormat/>
    <w:rsid w:val="00AB6715"/>
    <w:rPr>
      <w:rFonts w:ascii="Times New Roman" w:hAnsi="Times New Roman"/>
      <w:b/>
      <w:bCs/>
    </w:rPr>
  </w:style>
  <w:style w:type="character" w:styleId="SubtleEmphasis">
    <w:name w:val="Subtle Emphasis"/>
    <w:basedOn w:val="DefaultParagraphFont"/>
    <w:uiPriority w:val="19"/>
    <w:qFormat/>
    <w:rsid w:val="00AB6715"/>
    <w:rPr>
      <w:rFonts w:ascii="Times New Roman" w:hAnsi="Times New Roman"/>
      <w:i/>
      <w:iCs/>
      <w:color w:val="404040" w:themeColor="text1" w:themeTint="BF"/>
    </w:rPr>
  </w:style>
  <w:style w:type="table" w:styleId="TableGrid">
    <w:name w:val="Table Grid"/>
    <w:basedOn w:val="TableNormal"/>
    <w:uiPriority w:val="5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B6715"/>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AB6715"/>
    <w:rPr>
      <w:rFonts w:ascii="Times New Roman" w:hAnsi="Times New Roman" w:cs="Times New Roman"/>
      <w:b/>
      <w:sz w:val="32"/>
      <w:szCs w:val="32"/>
    </w:rPr>
  </w:style>
  <w:style w:type="paragraph" w:customStyle="1" w:styleId="SupplementaryMaterial">
    <w:name w:val="Supplementary Material"/>
    <w:basedOn w:val="Title"/>
    <w:next w:val="Title"/>
    <w:qFormat/>
    <w:rsid w:val="0001436A"/>
    <w:pPr>
      <w:spacing w:after="120"/>
    </w:pPr>
    <w:rPr>
      <w:i/>
    </w:rPr>
  </w:style>
  <w:style w:type="character" w:styleId="PlaceholderText">
    <w:name w:val="Placeholder Text"/>
    <w:basedOn w:val="DefaultParagraphFont"/>
    <w:uiPriority w:val="99"/>
    <w:semiHidden/>
    <w:rsid w:val="007A05BF"/>
    <w:rPr>
      <w:color w:val="808080"/>
    </w:rPr>
  </w:style>
  <w:style w:type="paragraph" w:styleId="Revision">
    <w:name w:val="Revision"/>
    <w:hidden/>
    <w:uiPriority w:val="99"/>
    <w:semiHidden/>
    <w:rsid w:val="004F39A2"/>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stocco\Documents\Templates\Frontiers_Word_Templ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7A95B22-B4E8-4C8E-ABCB-1E2B9143F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C:\Users\joshua.stocco\Documents\Templates\Frontiers_Word_Templates\Supplementary_Material.dotx</Template>
  <TotalTime>75</TotalTime>
  <Pages>8</Pages>
  <Words>2570</Words>
  <Characters>14652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Frontiers Media SA</dc:creator>
  <cp:lastModifiedBy>Ganguly, Arna [M E]</cp:lastModifiedBy>
  <cp:revision>16</cp:revision>
  <cp:lastPrinted>2013-10-03T12:51:00Z</cp:lastPrinted>
  <dcterms:created xsi:type="dcterms:W3CDTF">2021-12-18T19:54:00Z</dcterms:created>
  <dcterms:modified xsi:type="dcterms:W3CDTF">2022-03-08T04:47:00Z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http://www.zotero.org/styles/american-sociological-association</vt:lpwstr>
  </property>
  <property fmtid="{D5CDD505-2E9C-101B-9397-08002B2CF9AE}" pid="6" name="Mendeley Recent Style Name 1_1">
    <vt:lpwstr>American Sociological Association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http://www.zotero.org/styles/joule</vt:lpwstr>
  </property>
  <property fmtid="{D5CDD505-2E9C-101B-9397-08002B2CF9AE}" pid="14" name="Mendeley Recent Style Name 5_1">
    <vt:lpwstr>Joule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Unique User Id_1">
    <vt:lpwstr>7221276b-a05c-3fe7-ab0f-3608a2ea512c</vt:lpwstr>
  </property>
  <property fmtid="{D5CDD505-2E9C-101B-9397-08002B2CF9AE}" pid="24" name="Mendeley Citation Style_1">
    <vt:lpwstr>http://www.zotero.org/styles/chicago-author-date</vt:lpwstr>
  </property>
</Properties>
</file>