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</w:rPr>
        <w:t>EXCELENTÍSSIMO SENHOR PRESIDENTE DA CÂMARA MUNICIPAL DE SANTOS</w:t>
      </w:r>
    </w:p>
    <w:p>
      <w:pPr>
        <w:jc w:val="both"/>
      </w:pPr>
      <w:r>
        <w:rPr>
          <w:b/>
        </w:rPr>
        <w:t>REQUERIMENTO DE INFORMAÇÕES Nº ____/2026</w:t>
      </w:r>
    </w:p>
    <w:p>
      <w:pPr>
        <w:jc w:val="both"/>
      </w:pPr>
      <w:r>
        <w:rPr>
          <w:b/>
        </w:rPr>
        <w:t>Assunto:</w:t>
      </w:r>
      <w:r>
        <w:t xml:space="preserve"> Informações sobre o Pregão Eletrônico nº 96/2025 (Processo nº 58205/2024-16), registro de preços para fornecimento de piso moeda de borracha, cujo preço homologado ficou </w:t>
      </w:r>
      <w:r>
        <w:rPr>
          <w:b/>
        </w:rPr>
        <w:t>0,05% abaixo do valor estimado pela própria Administração</w:t>
      </w:r>
      <w:r>
        <w:t xml:space="preserve"> e </w:t>
      </w:r>
      <w:r>
        <w:rPr>
          <w:b/>
        </w:rPr>
        <w:t>53% acima</w:t>
      </w:r>
      <w:r>
        <w:t xml:space="preserve"> do preço obtido pelo Município para o mesmo item, com especificação idêntica, sete meses depois (Pregão Eletrônico nº 556/2025, Processo nº 31976/2025-56).</w:t>
      </w:r>
    </w:p>
    <w:p>
      <w:pPr>
        <w:jc w:val="both"/>
      </w:pPr>
      <w:r>
        <w:rPr>
          <w:b/>
        </w:rPr>
        <w:t>RUI SÉRGIO GOMES DE ROSIS JUNIOR</w:t>
      </w:r>
      <w:r>
        <w:t xml:space="preserve">, Vereador da Câmara Municipal de Santos (PL), no exercício do dever de fiscalização que lhe impõe o art. 31 da Constituição Federal, vem requerer a Vossa Excelência, nos termos do </w:t>
      </w:r>
      <w:r>
        <w:rPr>
          <w:b/>
        </w:rPr>
        <w:t>art. 121 do Regimento Interno</w:t>
      </w:r>
      <w:r>
        <w:t>, que se digne oficiar ao Excelentíssimo Senhor Prefeito Municipal, para que preste, no prazo de 30 (trinta) dias (art. 120, parágrafo único, do Regimento Interno), as informações adiante especificadas.</w:t>
      </w:r>
    </w:p>
    <w:p>
      <w:pPr>
        <w:pStyle w:val="Heading1"/>
      </w:pPr>
      <w:r>
        <w:t>I – DOS FATOS</w:t>
      </w:r>
    </w:p>
    <w:p>
      <w:pPr>
        <w:jc w:val="both"/>
      </w:pPr>
      <w:r>
        <w:t xml:space="preserve">O Município de Santos realizou, em 2025, </w:t>
      </w:r>
      <w:r>
        <w:rPr>
          <w:b/>
        </w:rPr>
        <w:t>duas licitações para o mesmo produto</w:t>
      </w:r>
      <w:r>
        <w:t>, com especificação técnica idêntica: piso de borracha tipo moeda, antiderrapante, com dimensões aproximadas de 100 cm de largura (rolo de 20 m) e espessura de 3,5 mm, na cor preta.</w:t>
      </w:r>
    </w:p>
    <w:p>
      <w:pPr>
        <w:jc w:val="both"/>
      </w:pPr>
      <w:r>
        <w:t>Os resultados publicados no Portal Nacional de Contratações Públicas (PNCP) são os seguintes: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Pregão nº 96/2025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Pregão nº 556/2025</w:t>
            </w:r>
          </w:p>
        </w:tc>
      </w:tr>
      <w:tr>
        <w:tc>
          <w:tcPr>
            <w:tcW w:type="dxa" w:w="2880"/>
          </w:tcPr>
          <w:p>
            <w:r/>
            <w:r>
              <w:t>Processo administrativo</w:t>
            </w:r>
          </w:p>
        </w:tc>
        <w:tc>
          <w:tcPr>
            <w:tcW w:type="dxa" w:w="2880"/>
          </w:tcPr>
          <w:p>
            <w:r/>
            <w:r>
              <w:t>58205/2024-16</w:t>
            </w:r>
          </w:p>
        </w:tc>
        <w:tc>
          <w:tcPr>
            <w:tcW w:type="dxa" w:w="2880"/>
          </w:tcPr>
          <w:p>
            <w:r/>
            <w:r>
              <w:t>31976/2025-56</w:t>
            </w:r>
          </w:p>
        </w:tc>
      </w:tr>
      <w:tr>
        <w:tc>
          <w:tcPr>
            <w:tcW w:type="dxa" w:w="2880"/>
          </w:tcPr>
          <w:p>
            <w:r/>
            <w:r>
              <w:t>Publicação no PNCP</w:t>
            </w:r>
          </w:p>
        </w:tc>
        <w:tc>
          <w:tcPr>
            <w:tcW w:type="dxa" w:w="2880"/>
          </w:tcPr>
          <w:p>
            <w:r/>
            <w:r>
              <w:t>14/02/2025</w:t>
            </w:r>
          </w:p>
        </w:tc>
        <w:tc>
          <w:tcPr>
            <w:tcW w:type="dxa" w:w="2880"/>
          </w:tcPr>
          <w:p>
            <w:r/>
            <w:r>
              <w:t>04/09/2025</w:t>
            </w:r>
          </w:p>
        </w:tc>
      </w:tr>
      <w:tr>
        <w:tc>
          <w:tcPr>
            <w:tcW w:type="dxa" w:w="2880"/>
          </w:tcPr>
          <w:p>
            <w:r/>
            <w:r>
              <w:t xml:space="preserve">Valor </w:t>
            </w:r>
            <w:r>
              <w:rPr>
                <w:b/>
              </w:rPr>
              <w:t>estimado</w:t>
            </w:r>
            <w:r>
              <w:t xml:space="preserve"> pela Administração</w:t>
            </w:r>
          </w:p>
        </w:tc>
        <w:tc>
          <w:tcPr>
            <w:tcW w:type="dxa" w:w="2880"/>
          </w:tcPr>
          <w:p>
            <w:r/>
            <w:r>
              <w:t>R$ 2.055,99 / rolo</w:t>
            </w:r>
          </w:p>
        </w:tc>
        <w:tc>
          <w:tcPr>
            <w:tcW w:type="dxa" w:w="2880"/>
          </w:tcPr>
          <w:p>
            <w:r/>
            <w:r>
              <w:t>R$ 2.604,96 / rolo</w:t>
            </w:r>
          </w:p>
        </w:tc>
      </w:tr>
      <w:tr>
        <w:tc>
          <w:tcPr>
            <w:tcW w:type="dxa" w:w="2880"/>
          </w:tcPr>
          <w:p>
            <w:r/>
            <w:r>
              <w:t xml:space="preserve">Valor </w:t>
            </w:r>
            <w:r>
              <w:rPr>
                <w:b/>
              </w:rPr>
              <w:t>homologado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R$ 2.054,87 / rolo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R$ 1.340,00 / rolo</w:t>
            </w:r>
          </w:p>
        </w:tc>
      </w:tr>
      <w:tr>
        <w:tc>
          <w:tcPr>
            <w:tcW w:type="dxa" w:w="2880"/>
          </w:tcPr>
          <w:p>
            <w:r/>
            <w:r>
              <w:t>Desconto obtido sobre a estimativa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0,05%</w:t>
            </w:r>
            <w:r>
              <w:t xml:space="preserve"> (R$ 1,12)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48,56%</w:t>
            </w:r>
            <w:r>
              <w:t xml:space="preserve"> (R$ 1.264,96)</w:t>
            </w:r>
          </w:p>
        </w:tc>
      </w:tr>
      <w:tr>
        <w:tc>
          <w:tcPr>
            <w:tcW w:type="dxa" w:w="2880"/>
          </w:tcPr>
          <w:p>
            <w:r/>
            <w:r>
              <w:t>Preço por m² (rolo de 20 m²)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R$ 102,74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R$ 67,00</w:t>
            </w:r>
          </w:p>
        </w:tc>
      </w:tr>
      <w:tr>
        <w:tc>
          <w:tcPr>
            <w:tcW w:type="dxa" w:w="2880"/>
          </w:tcPr>
          <w:p>
            <w:r/>
            <w:r>
              <w:t>Data do resultado</w:t>
            </w:r>
          </w:p>
        </w:tc>
        <w:tc>
          <w:tcPr>
            <w:tcW w:type="dxa" w:w="2880"/>
          </w:tcPr>
          <w:p>
            <w:r/>
            <w:r>
              <w:t>03/04/2025</w:t>
            </w:r>
          </w:p>
        </w:tc>
        <w:tc>
          <w:tcPr>
            <w:tcW w:type="dxa" w:w="2880"/>
          </w:tcPr>
          <w:p>
            <w:r/>
            <w:r>
              <w:t>14/11/2025</w:t>
            </w:r>
          </w:p>
        </w:tc>
      </w:tr>
      <w:tr>
        <w:tc>
          <w:tcPr>
            <w:tcW w:type="dxa" w:w="2880"/>
          </w:tcPr>
          <w:p>
            <w:r/>
            <w:r>
              <w:t>Quantidade registrada</w:t>
            </w:r>
          </w:p>
        </w:tc>
        <w:tc>
          <w:tcPr>
            <w:tcW w:type="dxa" w:w="2880"/>
          </w:tcPr>
          <w:p>
            <w:r/>
            <w:r>
              <w:t>3.755 rolos</w:t>
            </w:r>
          </w:p>
        </w:tc>
        <w:tc>
          <w:tcPr>
            <w:tcW w:type="dxa" w:w="2880"/>
          </w:tcPr>
          <w:p>
            <w:r/>
            <w:r>
              <w:t>828 + 275 rolos</w:t>
            </w:r>
          </w:p>
        </w:tc>
      </w:tr>
      <w:tr>
        <w:tc>
          <w:tcPr>
            <w:tcW w:type="dxa" w:w="2880"/>
          </w:tcPr>
          <w:p>
            <w:r/>
            <w:r>
              <w:t>Valor total homologado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R$ 7.716.036,85</w:t>
            </w:r>
          </w:p>
        </w:tc>
        <w:tc>
          <w:tcPr>
            <w:tcW w:type="dxa" w:w="2880"/>
          </w:tcPr>
          <w:p>
            <w:r/>
            <w:r>
              <w:t>R$ 1.478.020,00</w:t>
            </w:r>
          </w:p>
        </w:tc>
      </w:tr>
      <w:tr>
        <w:tc>
          <w:tcPr>
            <w:tcW w:type="dxa" w:w="2880"/>
          </w:tcPr>
          <w:p>
            <w:r/>
            <w:r>
              <w:t>Adjudicatária</w:t>
            </w:r>
          </w:p>
        </w:tc>
        <w:tc>
          <w:tcPr>
            <w:tcW w:type="dxa" w:w="2880"/>
          </w:tcPr>
          <w:p>
            <w:r/>
            <w:r>
              <w:t>ELETRIDAL COMÉRCIO DE MATERIAIS E EQUIPAMENTOS E SERVIÇOS EIRELI</w:t>
            </w:r>
          </w:p>
        </w:tc>
        <w:tc>
          <w:tcPr>
            <w:tcW w:type="dxa" w:w="2880"/>
          </w:tcPr>
          <w:p>
            <w:r/>
            <w:r>
              <w:t>TARARÁ COMERCIAL EIRELI</w:t>
            </w:r>
          </w:p>
        </w:tc>
      </w:tr>
    </w:tbl>
    <w:p/>
    <w:p>
      <w:pPr>
        <w:jc w:val="both"/>
      </w:pPr>
      <w:r>
        <w:t>Fontes (consultadas em 09/08/2026):</w:t>
      </w:r>
    </w:p>
    <w:p>
      <w:pPr>
        <w:pStyle w:val="ListBullet"/>
      </w:pPr>
      <w:r>
        <w:t>Pregão 96/2025 — https://pncp.gov.br/app/editais/58200015000183/2025/96</w:t>
      </w:r>
    </w:p>
    <w:p>
      <w:pPr>
        <w:pStyle w:val="ListBullet"/>
      </w:pPr>
      <w:r>
        <w:t>Pregão 556/2025 — https://pncp.gov.br/app/editais/58200015000183/2025/556</w:t>
      </w:r>
    </w:p>
    <w:p>
      <w:pPr>
        <w:pStyle w:val="ListBullet"/>
      </w:pPr>
      <w:r>
        <w:t>Pregão 492/2025 — https://pncp.gov.br/app/editais/58200015000183/2025/492</w:t>
      </w:r>
    </w:p>
    <w:p>
      <w:pPr>
        <w:pStyle w:val="Heading1"/>
      </w:pPr>
      <w:r>
        <w:t>II – DO QUE OS NÚMEROS INDICAM</w:t>
      </w:r>
    </w:p>
    <w:p>
      <w:pPr>
        <w:jc w:val="both"/>
      </w:pPr>
      <w:r>
        <w:t>Quatro fatos objetivos merecem esclarecimento.</w:t>
      </w:r>
    </w:p>
    <w:p>
      <w:pPr>
        <w:jc w:val="both"/>
      </w:pPr>
      <w:r>
        <w:rPr>
          <w:b/>
        </w:rPr>
        <w:t>Primeiro: o pregão de fevereiro não produziu desconto.</w:t>
      </w:r>
      <w:r>
        <w:t xml:space="preserve"> O valor homologado ficou </w:t>
      </w:r>
      <w:r>
        <w:rPr>
          <w:b/>
        </w:rPr>
        <w:t>R$ 1,12 abaixo</w:t>
      </w:r>
      <w:r>
        <w:t xml:space="preserve"> de uma estimativa de R$ 2.055,99 — desconto de 0,05%. Um pregão eletrônico, cuja finalidade legal é justamente obter a proposta mais vantajosa mediante disputa, encerrou-se praticamente no teto fixado pela própria Administração. Em ata da mesma espécie, sete meses depois, o desconto foi de 48,56%.</w:t>
      </w:r>
    </w:p>
    <w:p>
      <w:pPr>
        <w:jc w:val="both"/>
      </w:pPr>
      <w:r>
        <w:rPr>
          <w:b/>
        </w:rPr>
        <w:t>Segundo: a estimativa subiu enquanto o preço de mercado caiu.</w:t>
      </w:r>
      <w:r>
        <w:t xml:space="preserve"> A Administração estimou o mesmo item em R$ 2.055,99 em fevereiro e em R$ 2.604,96 em setembro — uma elevação de 26,7% na expectativa de preço. No entanto, o preço efetivamente obtido no segundo certame foi 34,8% </w:t>
      </w:r>
      <w:r>
        <w:rPr>
          <w:b/>
        </w:rPr>
        <w:t>inferior</w:t>
      </w:r>
      <w:r>
        <w:t xml:space="preserve"> ao do primeiro. A pesquisa de preços que fundamentou ambos os certames, portanto, apontou em direção contrária ao mercado nas duas vezes.</w:t>
      </w:r>
    </w:p>
    <w:p>
      <w:pPr>
        <w:jc w:val="both"/>
      </w:pPr>
      <w:r>
        <w:t xml:space="preserve">A diferença entre os dois preços homologados é de </w:t>
      </w:r>
      <w:r>
        <w:rPr>
          <w:b/>
        </w:rPr>
        <w:t>R$ 714,87 por rolo</w:t>
      </w:r>
      <w:r>
        <w:t xml:space="preserve">. Aplicada à quantidade registrada na ata do Pregão nº 96/2025 (3.755 rolos), corresponde a </w:t>
      </w:r>
      <w:r>
        <w:rPr>
          <w:b/>
        </w:rPr>
        <w:t>R$ 2.684.336,85</w:t>
      </w:r>
      <w:r>
        <w:t xml:space="preserve"> — cifra que representa o alcance potencial da diferença sobre o total da ata, e não despesa necessariamente realizada, uma vez que o sistema de registro de preços não obriga o Município a contratar as quantidades registradas. É precisamente esse ponto que os quesitos abaixo pretendem esclarecer.</w:t>
      </w:r>
    </w:p>
    <w:p>
      <w:pPr>
        <w:jc w:val="both"/>
      </w:pPr>
      <w:r>
        <w:rPr>
          <w:b/>
        </w:rPr>
        <w:t>Terceiro: a compra de grande volume saiu ao preço de varejo.</w:t>
      </w:r>
      <w:r>
        <w:t xml:space="preserve"> Consulta ao PNCP abrangendo as contratações de nove municípios paulistas de porte comparável localizou um único ente com o mesmo produto e preço já homologado: o </w:t>
      </w:r>
      <w:r>
        <w:rPr>
          <w:b/>
        </w:rPr>
        <w:t>Fundo Municipal de Saúde de São José dos Campos</w:t>
      </w:r>
      <w:r>
        <w:t xml:space="preserve">, que em 07/07/2025 adquiriu piso moeda emborrachado por </w:t>
      </w:r>
      <w:r>
        <w:rPr>
          <w:b/>
        </w:rPr>
        <w:t>R$ 309,90 o rolo de 1 m × 3 m</w:t>
      </w:r>
      <w:r>
        <w:t xml:space="preserve"> — isto é, </w:t>
      </w:r>
      <w:r>
        <w:rPr>
          <w:b/>
        </w:rPr>
        <w:t>R$ 103,30 por m²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Quantidade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Preço por m²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Santos — Pregão 96/2025</w:t>
            </w:r>
          </w:p>
        </w:tc>
        <w:tc>
          <w:tcPr>
            <w:tcW w:type="dxa" w:w="2880"/>
          </w:tcPr>
          <w:p>
            <w:r/>
            <w:r>
              <w:t xml:space="preserve">3.755 rolos = </w:t>
            </w:r>
            <w:r>
              <w:rPr>
                <w:b/>
              </w:rPr>
              <w:t>75.100 m²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R$ 102,74</w:t>
            </w:r>
          </w:p>
        </w:tc>
      </w:tr>
      <w:tr>
        <w:tc>
          <w:tcPr>
            <w:tcW w:type="dxa" w:w="2880"/>
          </w:tcPr>
          <w:p>
            <w:r/>
            <w:r>
              <w:t>Fundo Mun. de Saúde de S. J. dos Campos</w:t>
            </w:r>
          </w:p>
        </w:tc>
        <w:tc>
          <w:tcPr>
            <w:tcW w:type="dxa" w:w="2880"/>
          </w:tcPr>
          <w:p>
            <w:r/>
            <w:r>
              <w:t xml:space="preserve">2 rolos = </w:t>
            </w:r>
            <w:r>
              <w:rPr>
                <w:b/>
              </w:rPr>
              <w:t>6 m²</w:t>
            </w:r>
          </w:p>
        </w:tc>
        <w:tc>
          <w:tcPr>
            <w:tcW w:type="dxa" w:w="2880"/>
          </w:tcPr>
          <w:p>
            <w:r/>
            <w:r>
              <w:t>R$ 103,30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Santos — Pregão 556/2025</w:t>
            </w:r>
          </w:p>
        </w:tc>
        <w:tc>
          <w:tcPr>
            <w:tcW w:type="dxa" w:w="2880"/>
          </w:tcPr>
          <w:p>
            <w:r/>
            <w:r>
              <w:t>1.103 rolos = 22.060 m²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R$ 67,00</w:t>
            </w:r>
          </w:p>
        </w:tc>
      </w:tr>
    </w:tbl>
    <w:p/>
    <w:p>
      <w:pPr>
        <w:jc w:val="both"/>
      </w:pPr>
      <w:r>
        <w:t xml:space="preserve">O Município de Santos registrou, em fevereiro de 2025, uma quantidade </w:t>
      </w:r>
      <w:r>
        <w:rPr>
          <w:b/>
        </w:rPr>
        <w:t>12.516 vezes maior</w:t>
      </w:r>
      <w:r>
        <w:t xml:space="preserve"> que a daquela aquisição e obteve </w:t>
      </w:r>
      <w:r>
        <w:rPr>
          <w:b/>
        </w:rPr>
        <w:t>praticamente o mesmo preço unitário</w:t>
      </w:r>
      <w:r>
        <w:t xml:space="preserve"> — diferença de R$ 0,56 por m². Registre-se que a comparação com São José dos Campos não é apresentada como parâmetro de mercado, dada a enorme disparidade de escala; ela é trazida justamente porque essa disparidade é o ponto: uma compra de 75 mil m² não deveria custar, por metro quadrado, o mesmo que uma compra de 6 m² feita por microempresária individual.</w:t>
      </w:r>
    </w:p>
    <w:p>
      <w:pPr>
        <w:jc w:val="both"/>
      </w:pPr>
      <w:r>
        <w:t>Anote-se, por fim, que Jundiaí (R$ 113,34 e R$ 122,22 o metro) e São Vicente (R$ 100,31 o m²) possuem licitações do mesmo produto ainda em andamento, com valores estimados na mesma ordem de grandeza — o que reforça que a faixa em torno de R$ 100/m² corresponde a compras de pequeno volume, e não ao patamar esperado de uma ata de 75 mil m².</w:t>
      </w:r>
    </w:p>
    <w:p>
      <w:pPr>
        <w:jc w:val="both"/>
      </w:pPr>
      <w:r>
        <w:rPr>
          <w:b/>
        </w:rPr>
        <w:t>Quarto: no mesmo ano, o Município obteve descontos expressivos em outra ata de piso de borracha, de valor ainda maior.</w:t>
      </w:r>
      <w:r>
        <w:t xml:space="preserve"> O Pregão Eletrônico nº 492/2025 (Processo nº 19351/2025-99), para fornecimento </w:t>
      </w:r>
      <w:r>
        <w:rPr>
          <w:b/>
        </w:rPr>
        <w:t>com instalação</w:t>
      </w:r>
      <w:r>
        <w:t xml:space="preserve"> de piso intertravado de borracha, homologado em 03/11/2025, registrou R$ 375,00/m² e R$ 379,50/m² sobre estimativas de R$ 651,50 e R$ 806,50 — descontos de </w:t>
      </w:r>
      <w:r>
        <w:rPr>
          <w:b/>
        </w:rPr>
        <w:t>42,4% e 52,9%</w:t>
      </w:r>
      <w:r>
        <w:t xml:space="preserve"> — em ata de </w:t>
      </w:r>
      <w:r>
        <w:rPr>
          <w:b/>
        </w:rPr>
        <w:t>R$ 14.490.000,00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Certame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 da ata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Desconto sobre a estimativa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96/2025</w:t>
            </w:r>
          </w:p>
        </w:tc>
        <w:tc>
          <w:tcPr>
            <w:tcW w:type="dxa" w:w="2160"/>
          </w:tcPr>
          <w:p>
            <w:r/>
            <w:r>
              <w:t>piso moeda de borracha</w:t>
            </w:r>
          </w:p>
        </w:tc>
        <w:tc>
          <w:tcPr>
            <w:tcW w:type="dxa" w:w="2160"/>
          </w:tcPr>
          <w:p>
            <w:r/>
            <w:r>
              <w:t>R$ 7,72 mi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0,05%</w:t>
            </w:r>
          </w:p>
        </w:tc>
      </w:tr>
      <w:tr>
        <w:tc>
          <w:tcPr>
            <w:tcW w:type="dxa" w:w="2160"/>
          </w:tcPr>
          <w:p>
            <w:r/>
            <w:r>
              <w:t>492/2025</w:t>
            </w:r>
          </w:p>
        </w:tc>
        <w:tc>
          <w:tcPr>
            <w:tcW w:type="dxa" w:w="2160"/>
          </w:tcPr>
          <w:p>
            <w:r/>
            <w:r>
              <w:t>piso intertravado de borracha, com instalação</w:t>
            </w:r>
          </w:p>
        </w:tc>
        <w:tc>
          <w:tcPr>
            <w:tcW w:type="dxa" w:w="2160"/>
          </w:tcPr>
          <w:p>
            <w:r/>
            <w:r>
              <w:t>R$ 14,49 mi</w:t>
            </w:r>
          </w:p>
        </w:tc>
        <w:tc>
          <w:tcPr>
            <w:tcW w:type="dxa" w:w="2160"/>
          </w:tcPr>
          <w:p>
            <w:r/>
            <w:r>
              <w:t>42,4% e 52,9%</w:t>
            </w:r>
          </w:p>
        </w:tc>
      </w:tr>
      <w:tr>
        <w:tc>
          <w:tcPr>
            <w:tcW w:type="dxa" w:w="2160"/>
          </w:tcPr>
          <w:p>
            <w:r/>
            <w:r>
              <w:t>556/2025</w:t>
            </w:r>
          </w:p>
        </w:tc>
        <w:tc>
          <w:tcPr>
            <w:tcW w:type="dxa" w:w="2160"/>
          </w:tcPr>
          <w:p>
            <w:r/>
            <w:r>
              <w:t>piso moeda de borracha</w:t>
            </w:r>
          </w:p>
        </w:tc>
        <w:tc>
          <w:tcPr>
            <w:tcW w:type="dxa" w:w="2160"/>
          </w:tcPr>
          <w:p>
            <w:r/>
            <w:r>
              <w:t>R$ 1,48 mi</w:t>
            </w:r>
          </w:p>
        </w:tc>
        <w:tc>
          <w:tcPr>
            <w:tcW w:type="dxa" w:w="2160"/>
          </w:tcPr>
          <w:p>
            <w:r/>
            <w:r>
              <w:t>48,56%</w:t>
            </w:r>
          </w:p>
        </w:tc>
      </w:tr>
    </w:tbl>
    <w:p/>
    <w:p>
      <w:pPr>
        <w:jc w:val="both"/>
      </w:pPr>
      <w:r>
        <w:t xml:space="preserve">Os três certames são registros de preços de piso de borracha realizados no mesmo exercício, com secretarias demandantes parcialmente coincidentes — a </w:t>
      </w:r>
      <w:r>
        <w:rPr>
          <w:b/>
        </w:rPr>
        <w:t>SEPREF</w:t>
      </w:r>
      <w:r>
        <w:t xml:space="preserve"> figura tanto no Pregão nº 96/2025 quanto no nº 492/2025, e a </w:t>
      </w:r>
      <w:r>
        <w:rPr>
          <w:b/>
        </w:rPr>
        <w:t>SEMAM</w:t>
      </w:r>
      <w:r>
        <w:t xml:space="preserve"> tanto no nº 96/2025 quanto no nº 556/2025. O Pregão nº 492/2025, de valor quase o dobro do nº 96/2025, obteve descontos superiores a 40%. Afasta-se, portanto, a hipótese de que o resultado do Pregão nº 96/2025 decorreria do porte da contratação ou de característica intrínseca do mercado de pisos de borracha em Santos.</w:t>
      </w:r>
    </w:p>
    <w:p>
      <w:pPr>
        <w:jc w:val="both"/>
      </w:pPr>
      <w:r>
        <w:t>O art. 23 da Lei nº 14.133/2021 exige que o valor previamente estimado da contratação seja compatível com os valores praticados pelo mercado, admitindo expressamente, entre os parâmetros de pesquisa, a consulta a bancos de dados públicos e a contratações similares de outros entes federativos. Os dois certames em exame sugerem que esse comando pode não ter sido observado com o rigor devido.</w:t>
      </w:r>
    </w:p>
    <w:p>
      <w:pPr>
        <w:pStyle w:val="Heading1"/>
      </w:pPr>
      <w:r>
        <w:t>III – DOS QUESITOS</w:t>
      </w:r>
    </w:p>
    <w:p>
      <w:pPr>
        <w:jc w:val="both"/>
      </w:pPr>
      <w:r>
        <w:t>Requer-se, assim, sejam prestadas as seguintes informações:</w:t>
      </w:r>
    </w:p>
    <w:p>
      <w:pPr>
        <w:pStyle w:val="ListNumber"/>
        <w:jc w:val="both"/>
      </w:pPr>
      <w:r>
        <w:rPr>
          <w:b/>
        </w:rPr>
        <w:t>Cópia integral</w:t>
      </w:r>
      <w:r>
        <w:t xml:space="preserve"> dos autos dos Processos Administrativos nº </w:t>
      </w:r>
      <w:r>
        <w:rPr>
          <w:b/>
        </w:rPr>
        <w:t>58205/2024-16</w:t>
      </w:r>
      <w:r>
        <w:t xml:space="preserve"> e nº </w:t>
      </w:r>
      <w:r>
        <w:rPr>
          <w:b/>
        </w:rPr>
        <w:t>31976/2025-56</w:t>
      </w:r>
      <w:r>
        <w:t>, incluindo termos de referência, pesquisas de preços, mapas comparativos, atas de sessão pública, propostas apresentadas, pareceres jurídicos, termos de homologação e atas de registro de preços resultantes.</w:t>
      </w:r>
    </w:p>
    <w:p>
      <w:pPr>
        <w:pStyle w:val="ListNumber"/>
        <w:jc w:val="both"/>
      </w:pPr>
      <w:r>
        <w:t xml:space="preserve">Quais </w:t>
      </w:r>
      <w:r>
        <w:rPr>
          <w:b/>
        </w:rPr>
        <w:t>fontes e parâmetros</w:t>
      </w:r>
      <w:r>
        <w:t xml:space="preserve"> foram utilizados na pesquisa de preços que fundamentou o valor estimado de </w:t>
      </w:r>
      <w:r>
        <w:rPr>
          <w:b/>
        </w:rPr>
        <w:t>R$ 2.055,99 por rolo</w:t>
      </w:r>
      <w:r>
        <w:t xml:space="preserve"> no Pregão nº 96/2025, com identificação das empresas ou bases consultadas, das datas das cotações e do critério de cálculo adotado (média, mediana ou menor valor).</w:t>
      </w:r>
    </w:p>
    <w:p>
      <w:pPr>
        <w:pStyle w:val="ListNumber"/>
        <w:jc w:val="both"/>
      </w:pPr>
      <w:r>
        <w:t xml:space="preserve">Se a pesquisa de preços do Pregão nº 96/2025 considerou </w:t>
      </w:r>
      <w:r>
        <w:rPr>
          <w:b/>
        </w:rPr>
        <w:t>preços registrados por outros entes públicos</w:t>
      </w:r>
      <w:r>
        <w:t>, inclusive os disponíveis no Portal Nacional de Contratações Públicas, conforme faculta o art. 23, § 1º, da Lei nº 14.133/2021; em caso negativo, qual a razão.</w:t>
      </w:r>
    </w:p>
    <w:p>
      <w:pPr>
        <w:pStyle w:val="ListNumber"/>
        <w:jc w:val="both"/>
      </w:pPr>
      <w:r>
        <w:rPr>
          <w:b/>
        </w:rPr>
        <w:t>Quantos licitantes</w:t>
      </w:r>
      <w:r>
        <w:t xml:space="preserve"> apresentaram proposta e quantos participaram efetivamente da fase de lances no Pregão nº 96/2025, e qual foi o </w:t>
      </w:r>
      <w:r>
        <w:rPr>
          <w:b/>
        </w:rPr>
        <w:t>valor da primeira e da última proposta</w:t>
      </w:r>
      <w:r>
        <w:t xml:space="preserve"> de cada participante.</w:t>
      </w:r>
    </w:p>
    <w:p>
      <w:pPr>
        <w:pStyle w:val="ListNumber"/>
        <w:jc w:val="both"/>
      </w:pPr>
      <w:r>
        <w:t xml:space="preserve">Qual a </w:t>
      </w:r>
      <w:r>
        <w:rPr>
          <w:b/>
        </w:rPr>
        <w:t>justificativa técnica</w:t>
      </w:r>
      <w:r>
        <w:t xml:space="preserve"> para a elevação do valor estimado de R$ 2.055,99 (fevereiro de 2025) para R$ 2.604,96 (setembro de 2025) para item de especificação idêntica.</w:t>
      </w:r>
    </w:p>
    <w:p>
      <w:pPr>
        <w:pStyle w:val="ListNumber"/>
        <w:jc w:val="both"/>
      </w:pPr>
      <w:r>
        <w:t xml:space="preserve">Se a pesquisa de preços ou o termo de referência do Pregão nº 96/2025 considerou, na formação do preço estimado, </w:t>
      </w:r>
      <w:r>
        <w:rPr>
          <w:b/>
        </w:rPr>
        <w:t>algum ganho de escala decorrente do volume registrado</w:t>
      </w:r>
      <w:r>
        <w:t xml:space="preserve"> (3.755 rolos, equivalentes a 75.100 m²); em caso positivo, qual o percentual de desconto por volume adotado e sua memória de cálculo.</w:t>
      </w:r>
    </w:p>
    <w:p>
      <w:pPr>
        <w:pStyle w:val="ListNumber"/>
        <w:jc w:val="both"/>
      </w:pPr>
      <w:r>
        <w:rPr>
          <w:b/>
        </w:rPr>
        <w:t>Quantos rolos foram efetivamente adquiridos</w:t>
      </w:r>
      <w:r>
        <w:t xml:space="preserve"> por meio da Ata de Registro de Preços decorrente do Pregão nº 96/2025, discriminados por empenho, nota fiscal, data e valor pago, e qual o </w:t>
      </w:r>
      <w:r>
        <w:rPr>
          <w:b/>
        </w:rPr>
        <w:t>saldo remanescente</w:t>
      </w:r>
      <w:r>
        <w:t xml:space="preserve"> da ata.</w:t>
      </w:r>
    </w:p>
    <w:p>
      <w:pPr>
        <w:pStyle w:val="ListNumber"/>
        <w:jc w:val="both"/>
      </w:pPr>
      <w:r>
        <w:t xml:space="preserve">Se a Ata de Registro de Preços do Pregão nº 96/2025 foi objeto de </w:t>
      </w:r>
      <w:r>
        <w:rPr>
          <w:b/>
        </w:rPr>
        <w:t>cancelamento, revisão, repactuação ou renegociação de preços</w:t>
      </w:r>
      <w:r>
        <w:t xml:space="preserve"> após a homologação do Pregão nº 556/2025, que registrou o mesmo item por R$ 1.340,00; em caso negativo, qual o fundamento para a manutenção do preço anterior.</w:t>
      </w:r>
    </w:p>
    <w:p>
      <w:pPr>
        <w:pStyle w:val="ListNumber"/>
        <w:jc w:val="both"/>
      </w:pPr>
      <w:r>
        <w:t xml:space="preserve">Se a Administração </w:t>
      </w:r>
      <w:r>
        <w:rPr>
          <w:b/>
        </w:rPr>
        <w:t>identificou a diferença de preço</w:t>
      </w:r>
      <w:r>
        <w:t xml:space="preserve"> entre os dois certames e se houve qualquer apuração interna, manifestação da Controladoria-Geral do Município ou comunicação aos órgãos de controle a respeito.</w:t>
      </w:r>
    </w:p>
    <w:p>
      <w:pPr>
        <w:pStyle w:val="ListNumber"/>
        <w:jc w:val="both"/>
      </w:pPr>
      <w:r>
        <w:t xml:space="preserve">Quais </w:t>
      </w:r>
      <w:r>
        <w:rPr>
          <w:b/>
        </w:rPr>
        <w:t>unidades administrativas</w:t>
      </w:r>
      <w:r>
        <w:t xml:space="preserve"> foram atendidas por cada uma das atas e qual a </w:t>
      </w:r>
      <w:r>
        <w:rPr>
          <w:b/>
        </w:rPr>
        <w:t>destinação física</w:t>
      </w:r>
      <w:r>
        <w:t xml:space="preserve"> do material adquirido, com indicação dos locais de aplicação.</w:t>
      </w:r>
    </w:p>
    <w:p>
      <w:pPr>
        <w:pStyle w:val="ListNumber"/>
        <w:jc w:val="both"/>
      </w:pPr>
      <w:r>
        <w:t xml:space="preserve">Considerando que o Município realizou, no exercício de 2025, ao menos </w:t>
      </w:r>
      <w:r>
        <w:rPr>
          <w:b/>
        </w:rPr>
        <w:t>três registros de preços de piso de borracha</w:t>
      </w:r>
      <w:r>
        <w:t xml:space="preserve"> — Pregões nº 96/2025 (desconto de 0,05%), nº 492/2025 (descontos de 42,4% e 52,9%, Processo nº 19351/2025-99) e nº 556/2025 (desconto de 48,56%) — com secretarias demandantes parcialmente coincidentes, informar: (a) qual </w:t>
      </w:r>
      <w:r>
        <w:rPr>
          <w:b/>
        </w:rPr>
        <w:t>unidade administrativa</w:t>
      </w:r>
      <w:r>
        <w:t xml:space="preserve"> elaborou a pesquisa de preços de cada um dos três certames; (b) se foi adotada </w:t>
      </w:r>
      <w:r>
        <w:rPr>
          <w:b/>
        </w:rPr>
        <w:t>metodologia distinta</w:t>
      </w:r>
      <w:r>
        <w:t xml:space="preserve"> entre eles e, em caso positivo, qual; e (c) se a Administração dispõe de </w:t>
      </w:r>
      <w:r>
        <w:rPr>
          <w:b/>
        </w:rPr>
        <w:t>avaliação comparativa</w:t>
      </w:r>
      <w:r>
        <w:t xml:space="preserve"> dos resultados dos três certames.</w:t>
      </w:r>
    </w:p>
    <w:p>
      <w:pPr>
        <w:pStyle w:val="Heading1"/>
      </w:pPr>
      <w:r>
        <w:t>IV – DA JUSTIFICATIVA</w:t>
      </w:r>
    </w:p>
    <w:p>
      <w:pPr>
        <w:jc w:val="both"/>
      </w:pPr>
      <w:r>
        <w:t>O registro de preços do Pregão nº 96/2025 alcançou R$ 7,7 milhões. Um desconto de 0,05% em pregão eletrônico é resultado atípico e, por si só, não configura irregularidade — pode decorrer de estimativa bem calibrada, de mercado restrito ou de conjuntura específica. O que torna o esclarecimento necessário é a convergência de quatro fatos, cada um afastando uma das explicações possíveis:</w:t>
      </w:r>
    </w:p>
    <w:p>
      <w:pPr>
        <w:pStyle w:val="ListBullet"/>
      </w:pPr>
      <w:r>
        <w:t xml:space="preserve">o mesmo Município, comprando o mesmo item com a mesma descrição, obteve preço </w:t>
      </w:r>
      <w:r>
        <w:rPr>
          <w:b/>
        </w:rPr>
        <w:t>53% menor</w:t>
      </w:r>
    </w:p>
    <w:p>
      <w:pPr>
        <w:jc w:val="both"/>
      </w:pPr>
      <w:r>
        <w:t xml:space="preserve">sete meses depois, partindo de uma estimativa ainda </w:t>
      </w:r>
      <w:r>
        <w:rPr>
          <w:b/>
        </w:rPr>
        <w:t>mais alta</w:t>
      </w:r>
      <w:r>
        <w:t xml:space="preserve"> — o que afasta a hipótese de mercado sem alternativa;</w:t>
      </w:r>
    </w:p>
    <w:p>
      <w:pPr>
        <w:pStyle w:val="ListBullet"/>
      </w:pPr>
      <w:r>
        <w:t>o preço de fevereiro equivale ao que um fundo municipal de outra cidade pagou comprando</w:t>
      </w:r>
    </w:p>
    <w:p>
      <w:pPr>
        <w:jc w:val="both"/>
      </w:pPr>
      <w:r>
        <w:rPr>
          <w:b/>
        </w:rPr>
        <w:t>12,5 mil vezes menos</w:t>
      </w:r>
      <w:r>
        <w:t xml:space="preserve"> — o que afasta a hipótese de preço de atacado bem negociado;</w:t>
      </w:r>
    </w:p>
    <w:p>
      <w:pPr>
        <w:pStyle w:val="ListBullet"/>
      </w:pPr>
      <w:r>
        <w:t xml:space="preserve">no mesmo exercício, outra ata de piso de borracha, de valor </w:t>
      </w:r>
      <w:r>
        <w:rPr>
          <w:b/>
        </w:rPr>
        <w:t>quase o dobro</w:t>
      </w:r>
      <w:r>
        <w:t>, obteve</w:t>
      </w:r>
    </w:p>
    <w:p>
      <w:pPr>
        <w:jc w:val="both"/>
      </w:pPr>
      <w:r>
        <w:t>descontos superiores a 40% — o que afasta a hipótese de que o porte da contratação desestimule a disputa.</w:t>
      </w:r>
    </w:p>
    <w:p>
      <w:pPr>
        <w:jc w:val="both"/>
      </w:pPr>
      <w:r>
        <w:t>Não se imputa, aqui, irregularidade a qualquer agente público: as informações requeridas destinam-se justamente a permitir que a Administração apresente a explicação técnica que os dados públicos, isoladamente, não fornecem.</w:t>
      </w:r>
    </w:p>
    <w:p>
      <w:pPr>
        <w:jc w:val="both"/>
      </w:pPr>
      <w:r>
        <w:t xml:space="preserve">A dúvida que se coloca não é sobre a legalidade formal dos atos, mas sobre a </w:t>
      </w:r>
      <w:r>
        <w:rPr>
          <w:b/>
        </w:rPr>
        <w:t>economicidade</w:t>
      </w:r>
      <w:r>
        <w:t xml:space="preserve"> — princípio expresso no art. 70 da Constituição Federal e critério central do controle externo exercido por esta Casa. O contribuinte santista tem direito de saber por que o mesmo produto custou o dobro em fevereiro do que custaria em novembro, e se a Administração adotou alguma providência ao constatar a diferença.</w:t>
      </w:r>
    </w:p>
    <w:p>
      <w:pPr>
        <w:jc w:val="both"/>
      </w:pPr>
      <w:r>
        <w:t>As informações ora requeridas destinam-se exclusivamente ao exercício do controle parlamentar e não importam, nos termos do art. 121, § 1º, do Regimento Interno, qualquer sugestão ou conselho à autoridade consultada.</w:t>
      </w:r>
    </w:p>
    <w:p>
      <w:pPr>
        <w:jc w:val="both"/>
      </w:pPr>
      <w:r>
        <w:t>Nestes termos, pede deferimento.</w:t>
      </w:r>
    </w:p>
    <w:p>
      <w:pPr>
        <w:jc w:val="both"/>
      </w:pPr>
      <w:r>
        <w:t>Santos, ____ de _______________ de 2026.</w:t>
      </w:r>
    </w:p>
    <w:p>
      <w:pPr>
        <w:jc w:val="both"/>
      </w:pPr>
      <w:r>
        <w:rPr>
          <w:b/>
        </w:rPr>
        <w:t>RUI DE ROSIS JR.</w:t>
      </w:r>
      <w:r>
        <w:t xml:space="preserve"> Vereador — PL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