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lang w:val="en-US" w:eastAsia="en-US"/>
        </w:rPr>
        <w:drawing>
          <wp:inline distT="0" distB="0" distL="0" distR="0">
            <wp:extent cx="5597525" cy="88074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   </w:t>
      </w:r>
      <w:r>
        <w:rPr>
          <w:rFonts w:cs="Arial" w:ascii="Arial" w:hAnsi="Arial"/>
          <w:sz w:val="18"/>
          <w:szCs w:val="18"/>
        </w:rPr>
        <w:t xml:space="preserve">Direction des Energies Renouvelables                          </w:t>
        <w:tab/>
        <w:tab/>
        <w:t>Rabat, le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           </w:t>
      </w:r>
      <w:r>
        <w:rPr>
          <w:rFonts w:cs="Arial" w:ascii="Arial" w:hAnsi="Arial"/>
          <w:sz w:val="18"/>
          <w:szCs w:val="18"/>
        </w:rPr>
        <w:t xml:space="preserve">et de l’Efficacité Energétique                                            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  </w:t>
      </w:r>
    </w:p>
    <w:p>
      <w:pPr>
        <w:pStyle w:val="Normal"/>
        <w:spacing w:lineRule="auto" w:line="240" w:before="120" w:after="12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b/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>Classification des textes réglementaires et législatifs</w:t>
      </w:r>
    </w:p>
    <w:p>
      <w:pPr>
        <w:pStyle w:val="Normal"/>
        <w:spacing w:lineRule="auto" w:line="240" w:before="120" w:after="120"/>
        <w:jc w:val="center"/>
        <w:rPr>
          <w:b/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>Energies renouvelables et efficacité énergétique</w:t>
      </w:r>
    </w:p>
    <w:p>
      <w:pPr>
        <w:pStyle w:val="Normal"/>
        <w:spacing w:lineRule="auto" w:line="240" w:before="120" w:after="120"/>
        <w:jc w:val="center"/>
        <w:rPr>
          <w:b/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  <w:vertAlign w:val="superscript"/>
        </w:rPr>
        <w:t>er</w:t>
      </w:r>
      <w:r>
        <w:rPr>
          <w:b/>
          <w:bCs/>
          <w:sz w:val="24"/>
          <w:szCs w:val="24"/>
          <w:u w:val="single"/>
        </w:rPr>
        <w:t xml:space="preserve"> niveau de classification :</w:t>
      </w:r>
    </w:p>
    <w:p>
      <w:pPr>
        <w:pStyle w:val="Heading1"/>
        <w:numPr>
          <w:ilvl w:val="0"/>
          <w:numId w:val="2"/>
        </w:numPr>
        <w:spacing w:before="0" w:after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-         Energies Renouvelables</w:t>
      </w:r>
    </w:p>
    <w:p>
      <w:pPr>
        <w:pStyle w:val="Heading1"/>
        <w:numPr>
          <w:ilvl w:val="0"/>
          <w:numId w:val="2"/>
        </w:numPr>
        <w:spacing w:before="0" w:after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-         Efficacité Energétique</w:t>
      </w:r>
    </w:p>
    <w:p>
      <w:pPr>
        <w:pStyle w:val="Heading1"/>
        <w:numPr>
          <w:ilvl w:val="0"/>
          <w:numId w:val="2"/>
        </w:numPr>
        <w:spacing w:before="0" w:after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-         Electricité</w:t>
      </w:r>
    </w:p>
    <w:p>
      <w:pPr>
        <w:pStyle w:val="Heading1"/>
        <w:numPr>
          <w:ilvl w:val="0"/>
          <w:numId w:val="2"/>
        </w:numPr>
        <w:spacing w:before="0" w:after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-         Produits Pétroliers</w:t>
      </w:r>
    </w:p>
    <w:p>
      <w:pPr>
        <w:pStyle w:val="Heading1"/>
        <w:numPr>
          <w:ilvl w:val="0"/>
          <w:numId w:val="2"/>
        </w:numPr>
        <w:spacing w:before="0" w:after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-         Gaz Naturel</w:t>
      </w:r>
    </w:p>
    <w:p>
      <w:pPr>
        <w:pStyle w:val="Heading1"/>
        <w:numPr>
          <w:ilvl w:val="0"/>
          <w:numId w:val="2"/>
        </w:numPr>
        <w:spacing w:before="0" w:after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-         Contrôle et prévention des Risques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1F4E79"/>
          <w:sz w:val="24"/>
          <w:szCs w:val="24"/>
          <w:u w:val="single"/>
        </w:rPr>
      </w:pPr>
      <w:r>
        <w:rPr>
          <w:b/>
          <w:bCs/>
          <w:color w:val="1F4E79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Proposition du 2</w:t>
      </w:r>
      <w:r>
        <w:rPr>
          <w:b/>
          <w:bCs/>
          <w:sz w:val="24"/>
          <w:szCs w:val="24"/>
          <w:u w:val="single"/>
          <w:vertAlign w:val="superscript"/>
        </w:rPr>
        <w:t>ème</w:t>
      </w:r>
      <w:r>
        <w:rPr>
          <w:b/>
          <w:bCs/>
          <w:sz w:val="24"/>
          <w:szCs w:val="24"/>
          <w:u w:val="single"/>
        </w:rPr>
        <w:t xml:space="preserve"> niveau de classification :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1F4E79"/>
          <w:sz w:val="24"/>
          <w:szCs w:val="24"/>
          <w:u w:val="single"/>
        </w:rPr>
      </w:pPr>
      <w:r>
        <w:rPr>
          <w:b/>
          <w:bCs/>
          <w:color w:val="1F4E79"/>
          <w:sz w:val="24"/>
          <w:szCs w:val="24"/>
          <w:u w:val="single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b/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Energies renouvelables </w:t>
      </w:r>
    </w:p>
    <w:p>
      <w:pPr>
        <w:pStyle w:val="Heading1"/>
        <w:numPr>
          <w:ilvl w:val="0"/>
          <w:numId w:val="1"/>
        </w:numPr>
        <w:ind w:left="720" w:hanging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Cadre législatif 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b/>
          <w:b/>
          <w:bCs/>
          <w:sz w:val="24"/>
          <w:szCs w:val="24"/>
          <w:u w:val="single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 xml:space="preserve">La loi n° 13-09 relative aux énergies renouvelables 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b/>
          <w:b/>
          <w:bCs/>
          <w:sz w:val="24"/>
          <w:szCs w:val="24"/>
          <w:u w:val="single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La loi n°58-15 modifiant et complétant de la loi n° 13-09 relative aux énergies renouvelables</w:t>
      </w:r>
    </w:p>
    <w:p>
      <w:pPr>
        <w:pStyle w:val="Heading1"/>
        <w:numPr>
          <w:ilvl w:val="0"/>
          <w:numId w:val="1"/>
        </w:numPr>
        <w:ind w:left="720" w:hanging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Cadre institutionnel 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La loi n°57-09 relative à la création</w:t>
      </w:r>
      <w:r>
        <w:rPr>
          <w:rFonts w:cs="Andalus" w:ascii="Andalus" w:hAnsi="Andalus"/>
          <w:b/>
          <w:bCs/>
          <w:color w:val="CC0000"/>
          <w:sz w:val="36"/>
          <w:szCs w:val="36"/>
          <w:shd w:fill="F3F3F3" w:val="clear"/>
        </w:rPr>
        <w:t xml:space="preserve"> </w:t>
      </w:r>
      <w:r>
        <w:rPr>
          <w:rFonts w:cs="Calibri Light" w:ascii="Calibri Light" w:hAnsi="Calibri Light"/>
          <w:b/>
          <w:bCs/>
          <w:sz w:val="24"/>
          <w:szCs w:val="24"/>
        </w:rPr>
        <w:t>de la société « Maroccan Agency for Solar Energy »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b/>
          <w:b/>
          <w:bCs/>
          <w:sz w:val="24"/>
          <w:szCs w:val="24"/>
          <w:u w:val="single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La loi n°37-16 modifiant et complétant de la loi n° 57-09 portant création de la société « Maroccan Agency for Solar Energy »</w:t>
      </w:r>
    </w:p>
    <w:p>
      <w:pPr>
        <w:pStyle w:val="Heading1"/>
        <w:numPr>
          <w:ilvl w:val="0"/>
          <w:numId w:val="1"/>
        </w:numPr>
        <w:ind w:left="720" w:hanging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Cadre réglementaire :</w:t>
      </w:r>
    </w:p>
    <w:p>
      <w:pPr>
        <w:pStyle w:val="Heading2"/>
        <w:numPr>
          <w:ilvl w:val="0"/>
          <w:numId w:val="3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Décrets d’application 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Le décret n°2-10-578 pris pour l’application de la loi n° 13-09 relative aux énergies renouvelables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Le décret n° 2-15-772 relatif à l’accès au réseau électrique national de moyenne tension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Arrêtés 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Arrêté de la Ministre de l’Energie, des Mines, de l’Eau et de l’Environnement n°2657-11 définissant les zones destinées à accueillir les sites pouvant abriter les installations de production d’énergie électrique de source éolienne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Arrêté du Ministre de l’Energie, des Mines, de l’Eau et de l’Environnement n°313-14 fixant le modèle du cahier des charges devant accompagner la demande d’autorisation définitive pour la mise en service d’une installation de production d’énergie électrique à partir de sources d’énergies renouvelables.</w:t>
      </w:r>
    </w:p>
    <w:p>
      <w:pPr>
        <w:pStyle w:val="Normal"/>
        <w:spacing w:lineRule="auto" w:line="240" w:before="0" w:after="0"/>
        <w:ind w:left="1211" w:hanging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b/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Efficacité Energétique :</w:t>
      </w:r>
    </w:p>
    <w:p>
      <w:pPr>
        <w:pStyle w:val="Heading1"/>
        <w:numPr>
          <w:ilvl w:val="0"/>
          <w:numId w:val="1"/>
        </w:numPr>
        <w:ind w:left="720" w:hanging="0"/>
        <w:rPr/>
      </w:pPr>
      <w:r>
        <w:rPr>
          <w:color w:val="1F4E79"/>
          <w:sz w:val="24"/>
          <w:szCs w:val="24"/>
        </w:rPr>
        <w:t>Cadre législatif 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La loi n° 47-09 relative à l’efficacité énergétique</w:t>
      </w:r>
    </w:p>
    <w:p>
      <w:pPr>
        <w:pStyle w:val="Heading1"/>
        <w:numPr>
          <w:ilvl w:val="0"/>
          <w:numId w:val="1"/>
        </w:numPr>
        <w:ind w:left="720" w:hanging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Cadre institutionnel 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La loi n°16-09 relative l’agence nationale pour le développement des énergies renouvelables et de l’efficacité énergétique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La loi n°39-16 portant modification de la loi n° 16-09 relative à l’agence nationale pour le développement des énergies renouvelables et de l’efficacité énergétique</w:t>
      </w:r>
    </w:p>
    <w:p>
      <w:pPr>
        <w:pStyle w:val="Heading1"/>
        <w:numPr>
          <w:ilvl w:val="0"/>
          <w:numId w:val="1"/>
        </w:numPr>
        <w:ind w:left="720" w:hanging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>Cadre réglementaire :</w:t>
      </w:r>
    </w:p>
    <w:p>
      <w:pPr>
        <w:pStyle w:val="Heading2"/>
        <w:numPr>
          <w:ilvl w:val="0"/>
          <w:numId w:val="3"/>
        </w:numPr>
        <w:rPr/>
      </w:pPr>
      <w:r>
        <w:rPr>
          <w:sz w:val="20"/>
          <w:szCs w:val="20"/>
        </w:rPr>
        <w:t>Décret d’application 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Le décret n°2-13-874 approuvant le règlement général de construction fixant les règles de performance énergétique des constructions et instituant le comité national de l’efficacité énergétique dans le bâtiment</w:t>
      </w:r>
    </w:p>
    <w:p>
      <w:pPr>
        <w:pStyle w:val="Normal"/>
        <w:spacing w:lineRule="auto" w:line="240" w:before="0" w:after="0"/>
        <w:ind w:left="1211" w:hanging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/>
          <w:b/>
          <w:b/>
          <w:bCs/>
          <w:sz w:val="24"/>
          <w:szCs w:val="24"/>
          <w:u w:val="single"/>
        </w:rPr>
      </w:pPr>
      <w:r>
        <w:rPr>
          <w:rFonts w:cs="Calibri Light" w:ascii="Calibri Light" w:hAnsi="Calibri Light"/>
          <w:b/>
          <w:bCs/>
          <w:sz w:val="24"/>
          <w:szCs w:val="24"/>
          <w:u w:val="single"/>
        </w:rPr>
      </w:r>
    </w:p>
    <w:sectPr>
      <w:type w:val="nextPage"/>
      <w:pgSz w:w="11906" w:h="16838"/>
      <w:pgMar w:left="1418" w:right="1418" w:header="0" w:top="624" w:footer="0" w:bottom="62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ndalus">
    <w:charset w:val="00"/>
    <w:family w:val="roman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sz w:val="20"/>
        <w:u w:val="none"/>
        <w:szCs w:val="20"/>
        <w:rFonts w:cs="Courier New"/>
      </w:rPr>
    </w:lvl>
  </w:abstractNum>
  <w:abstractNum w:abstractNumId="4">
    <w:lvl w:ilvl="0">
      <w:start w:val="1"/>
      <w:numFmt w:val="bullet"/>
      <w:lvlText w:val=""/>
      <w:lvlJc w:val="left"/>
      <w:pPr>
        <w:ind w:left="1211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;Calibri" w:hAnsi="Calibri;Calibri" w:eastAsia="Calibri;Calibri" w:cs="Arial"/>
      <w:color w:val="auto"/>
      <w:sz w:val="22"/>
      <w:szCs w:val="22"/>
      <w:lang w:val="fr-FR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verflowPunct w:val="false"/>
      <w:autoSpaceDE w:val="false"/>
      <w:spacing w:lineRule="auto" w:line="240" w:before="0" w:after="0"/>
      <w:textAlignment w:val="baseline"/>
      <w:outlineLvl w:val="3"/>
      <w:outlineLvl w:val="3"/>
    </w:pPr>
    <w:rPr>
      <w:rFonts w:ascii="Times New Roman" w:hAnsi="Times New Roman" w:eastAsia="Times New Roman" w:cs="Times New Roman"/>
      <w:sz w:val="28"/>
      <w:szCs w:val="20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Calibri Light" w:hAnsi="Calibri Light" w:eastAsia="Calibri;Calibri" w:cs="Aria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Courier New" w:hAnsi="Courier New" w:cs="Courier New"/>
      <w:sz w:val="20"/>
      <w:szCs w:val="20"/>
      <w:u w:val="none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24"/>
      <w:szCs w:val="24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Policepardfaut">
    <w:name w:val="Police par défaut"/>
    <w:qFormat/>
    <w:rPr/>
  </w:style>
  <w:style w:type="character" w:styleId="TextedebullesCar">
    <w:name w:val="Texte de bulles Car"/>
    <w:qFormat/>
    <w:rPr>
      <w:rFonts w:ascii="Tahoma" w:hAnsi="Tahoma" w:eastAsia="Calibri;Calibri" w:cs="Tahoma"/>
      <w:sz w:val="16"/>
      <w:szCs w:val="16"/>
    </w:rPr>
  </w:style>
  <w:style w:type="character" w:styleId="Titre4Car">
    <w:name w:val="Titre 4 Car"/>
    <w:qFormat/>
    <w:rPr>
      <w:rFonts w:ascii="Times New Roman" w:hAnsi="Times New Roman" w:eastAsia="Times New Roman" w:cs="Times New Roman"/>
      <w:sz w:val="28"/>
    </w:rPr>
  </w:style>
  <w:style w:type="character" w:styleId="Titre1Car">
    <w:name w:val="Titre 1 Car"/>
    <w:qFormat/>
    <w:rPr>
      <w:rFonts w:ascii="Calibri Light" w:hAnsi="Calibri Light" w:eastAsia="Times New Roman" w:cs="Times New Roman"/>
      <w:b/>
      <w:bCs/>
      <w:sz w:val="32"/>
      <w:szCs w:val="32"/>
    </w:rPr>
  </w:style>
  <w:style w:type="character" w:styleId="Titre2Car">
    <w:name w:val="Titre 2 C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Appleconvertedspace">
    <w:name w:val="apple-converted-space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edebulles">
    <w:name w:val="Texte de bulles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spacing w:lineRule="auto" w:line="240" w:before="0" w:after="0"/>
      <w:ind w:left="720" w:hanging="0"/>
    </w:pPr>
    <w:rPr>
      <w:rFonts w:eastAsia="Calibri;Calibri" w:cs="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2016-11-05T12:59:28Z</dcterms:created>
  <dc:creator/>
  <dc:description/>
  <dc:language>en-US</dc:language>
  <cp:lastModifiedBy>GHZAOUI Ahmed</cp:lastModifiedBy>
  <cp:lastPrinted>2016-08-08T18:10:00Z</cp:lastPrinted>
  <dcterms:modified xsi:type="dcterms:W3CDTF">2016-11-04T14:33:00Z</dcterms:modified>
  <cp:revision>3</cp:revision>
  <dc:subject/>
  <dc:title/>
</cp:coreProperties>
</file>