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707" w:rsidRDefault="000B706F">
      <w:r>
        <w:t>Derrick Davis</w:t>
      </w:r>
    </w:p>
    <w:p w:rsidR="000B706F" w:rsidRDefault="000B706F">
      <w:r>
        <w:t>12/19/2018</w:t>
      </w:r>
    </w:p>
    <w:p w:rsidR="000B706F" w:rsidRDefault="000B706F"/>
    <w:p w:rsidR="000B706F" w:rsidRDefault="000B706F" w:rsidP="000B706F">
      <w:pPr>
        <w:spacing w:after="0" w:line="240" w:lineRule="auto"/>
        <w:rPr>
          <w:rFonts w:ascii="Calibri" w:eastAsia="Times New Roman" w:hAnsi="Calibri" w:cs="Calibri"/>
          <w:color w:val="222222"/>
          <w:sz w:val="21"/>
          <w:szCs w:val="21"/>
        </w:rPr>
      </w:pPr>
      <w:r w:rsidRPr="000B706F">
        <w:rPr>
          <w:rFonts w:ascii="Calibri" w:eastAsia="Times New Roman" w:hAnsi="Calibri" w:cs="Calibri"/>
          <w:color w:val="222222"/>
          <w:sz w:val="21"/>
          <w:szCs w:val="21"/>
        </w:rPr>
        <w:t>Please answer following open-book questions:</w:t>
      </w:r>
    </w:p>
    <w:p w:rsidR="000B706F" w:rsidRDefault="000B706F" w:rsidP="000B706F">
      <w:pPr>
        <w:spacing w:after="0" w:line="240" w:lineRule="auto"/>
        <w:rPr>
          <w:rFonts w:ascii="Calibri" w:eastAsia="Times New Roman" w:hAnsi="Calibri" w:cs="Calibri"/>
          <w:color w:val="222222"/>
          <w:sz w:val="21"/>
          <w:szCs w:val="21"/>
        </w:rPr>
      </w:pPr>
    </w:p>
    <w:p w:rsidR="000B706F" w:rsidRPr="000B706F" w:rsidRDefault="000B706F" w:rsidP="000B706F">
      <w:pPr>
        <w:spacing w:after="0" w:line="240" w:lineRule="auto"/>
        <w:rPr>
          <w:rFonts w:ascii="Calibri" w:eastAsia="Times New Roman" w:hAnsi="Calibri" w:cs="Calibri"/>
          <w:color w:val="222222"/>
          <w:sz w:val="21"/>
          <w:szCs w:val="21"/>
        </w:rPr>
      </w:pPr>
    </w:p>
    <w:p w:rsidR="000B706F" w:rsidRPr="000B706F" w:rsidRDefault="000B706F" w:rsidP="000B706F">
      <w:pPr>
        <w:numPr>
          <w:ilvl w:val="0"/>
          <w:numId w:val="1"/>
        </w:numPr>
        <w:spacing w:after="0" w:line="240" w:lineRule="auto"/>
        <w:ind w:left="540"/>
        <w:textAlignment w:val="center"/>
        <w:rPr>
          <w:rFonts w:ascii="Calibri" w:eastAsia="Times New Roman" w:hAnsi="Calibri" w:cs="Calibri"/>
          <w:color w:val="222222"/>
        </w:rPr>
      </w:pPr>
      <w:r w:rsidRPr="000B706F">
        <w:rPr>
          <w:rFonts w:ascii="Calibri" w:eastAsia="Times New Roman" w:hAnsi="Calibri" w:cs="Calibri"/>
          <w:color w:val="222222"/>
          <w:sz w:val="21"/>
          <w:szCs w:val="21"/>
        </w:rPr>
        <w:t>Sales reps in XYZ’s Salesforce org would like to see the total value of all related and open Opportunities when visiting an Account’s record. How can this be accomplished?</w:t>
      </w:r>
    </w:p>
    <w:p w:rsidR="000B706F" w:rsidRPr="000B706F" w:rsidRDefault="000B706F" w:rsidP="000B706F">
      <w:pPr>
        <w:spacing w:after="0" w:line="240" w:lineRule="auto"/>
        <w:ind w:left="540"/>
        <w:textAlignment w:val="center"/>
        <w:rPr>
          <w:rFonts w:ascii="Calibri" w:eastAsia="Times New Roman" w:hAnsi="Calibri" w:cs="Calibri"/>
          <w:color w:val="222222"/>
        </w:rPr>
      </w:pPr>
    </w:p>
    <w:p w:rsidR="000B706F" w:rsidRPr="000B706F" w:rsidRDefault="000B706F" w:rsidP="000B706F">
      <w:pPr>
        <w:numPr>
          <w:ilvl w:val="1"/>
          <w:numId w:val="1"/>
        </w:numPr>
        <w:spacing w:after="0" w:line="240" w:lineRule="auto"/>
        <w:ind w:left="1080"/>
        <w:textAlignment w:val="center"/>
        <w:rPr>
          <w:rFonts w:ascii="Calibri" w:eastAsia="Times New Roman" w:hAnsi="Calibri" w:cs="Calibri"/>
          <w:color w:val="222222"/>
        </w:rPr>
      </w:pPr>
      <w:r w:rsidRPr="000B706F">
        <w:rPr>
          <w:rFonts w:ascii="Calibri" w:eastAsia="Times New Roman" w:hAnsi="Calibri" w:cs="Calibri"/>
          <w:color w:val="222222"/>
          <w:sz w:val="21"/>
          <w:szCs w:val="21"/>
        </w:rPr>
        <w:t xml:space="preserve">The rep can achieve this by running a report that summarizes this information for you or </w:t>
      </w:r>
    </w:p>
    <w:p w:rsidR="000B706F" w:rsidRPr="000B706F" w:rsidRDefault="000B706F" w:rsidP="000B706F">
      <w:pPr>
        <w:numPr>
          <w:ilvl w:val="1"/>
          <w:numId w:val="1"/>
        </w:numPr>
        <w:spacing w:after="0" w:line="240" w:lineRule="auto"/>
        <w:ind w:left="1080"/>
        <w:textAlignment w:val="center"/>
        <w:rPr>
          <w:rFonts w:ascii="Calibri" w:eastAsia="Times New Roman" w:hAnsi="Calibri" w:cs="Calibri"/>
          <w:color w:val="222222"/>
        </w:rPr>
      </w:pPr>
      <w:r>
        <w:rPr>
          <w:rFonts w:ascii="Calibri" w:eastAsia="Times New Roman" w:hAnsi="Calibri" w:cs="Calibri"/>
          <w:color w:val="222222"/>
          <w:sz w:val="21"/>
          <w:szCs w:val="21"/>
        </w:rPr>
        <w:t xml:space="preserve">The </w:t>
      </w:r>
      <w:r w:rsidRPr="000B706F">
        <w:rPr>
          <w:rFonts w:ascii="Calibri" w:eastAsia="Times New Roman" w:hAnsi="Calibri" w:cs="Calibri"/>
          <w:color w:val="222222"/>
          <w:sz w:val="21"/>
          <w:szCs w:val="21"/>
        </w:rPr>
        <w:t>SFDC admin can choose the opportunity fields you want to have summarized on the account record.</w:t>
      </w:r>
    </w:p>
    <w:p w:rsidR="000B706F" w:rsidRPr="000B706F" w:rsidRDefault="000B706F" w:rsidP="000B706F">
      <w:pPr>
        <w:spacing w:after="0" w:line="240" w:lineRule="auto"/>
        <w:ind w:left="1080"/>
        <w:textAlignment w:val="center"/>
        <w:rPr>
          <w:rFonts w:ascii="Calibri" w:eastAsia="Times New Roman" w:hAnsi="Calibri" w:cs="Calibri"/>
          <w:color w:val="222222"/>
        </w:rPr>
      </w:pPr>
      <w:r w:rsidRPr="000B706F">
        <w:rPr>
          <w:rFonts w:ascii="Calibri" w:eastAsia="Times New Roman" w:hAnsi="Calibri" w:cs="Calibri"/>
          <w:color w:val="222222"/>
          <w:sz w:val="21"/>
          <w:szCs w:val="21"/>
        </w:rPr>
        <w:t xml:space="preserve"> </w:t>
      </w:r>
    </w:p>
    <w:p w:rsidR="000B706F" w:rsidRPr="000B706F" w:rsidRDefault="000B706F" w:rsidP="000B706F">
      <w:pPr>
        <w:numPr>
          <w:ilvl w:val="0"/>
          <w:numId w:val="1"/>
        </w:numPr>
        <w:spacing w:after="0" w:line="240" w:lineRule="auto"/>
        <w:ind w:left="540"/>
        <w:textAlignment w:val="center"/>
        <w:rPr>
          <w:rFonts w:ascii="Calibri" w:eastAsia="Times New Roman" w:hAnsi="Calibri" w:cs="Calibri"/>
          <w:color w:val="222222"/>
        </w:rPr>
      </w:pPr>
      <w:r w:rsidRPr="000B706F">
        <w:rPr>
          <w:rFonts w:ascii="Calibri" w:eastAsia="Times New Roman" w:hAnsi="Calibri" w:cs="Calibri"/>
          <w:color w:val="222222"/>
          <w:sz w:val="21"/>
          <w:szCs w:val="21"/>
        </w:rPr>
        <w:t>Why does Salesforce provide the ability to write and run custom code when features such as Workflows and Process Builder are available? </w:t>
      </w:r>
    </w:p>
    <w:p w:rsidR="000B706F" w:rsidRPr="000B706F" w:rsidRDefault="000B706F" w:rsidP="000B706F">
      <w:pPr>
        <w:spacing w:after="0" w:line="240" w:lineRule="auto"/>
        <w:ind w:left="540"/>
        <w:textAlignment w:val="center"/>
        <w:rPr>
          <w:rFonts w:ascii="Calibri" w:eastAsia="Times New Roman" w:hAnsi="Calibri" w:cs="Calibri"/>
          <w:color w:val="222222"/>
        </w:rPr>
      </w:pPr>
    </w:p>
    <w:p w:rsidR="000B706F" w:rsidRPr="000B706F" w:rsidRDefault="000B706F" w:rsidP="000B706F">
      <w:pPr>
        <w:numPr>
          <w:ilvl w:val="1"/>
          <w:numId w:val="1"/>
        </w:numPr>
        <w:spacing w:after="0" w:line="240" w:lineRule="auto"/>
        <w:ind w:left="1080"/>
        <w:textAlignment w:val="center"/>
        <w:rPr>
          <w:rFonts w:ascii="Calibri" w:eastAsia="Times New Roman" w:hAnsi="Calibri" w:cs="Calibri"/>
          <w:color w:val="222222"/>
        </w:rPr>
      </w:pPr>
      <w:r w:rsidRPr="000B706F">
        <w:rPr>
          <w:rFonts w:ascii="Calibri" w:eastAsia="Times New Roman" w:hAnsi="Calibri" w:cs="Calibri"/>
          <w:color w:val="222222"/>
          <w:sz w:val="21"/>
          <w:szCs w:val="21"/>
        </w:rPr>
        <w:t>Though the Out of Box features like Process Builder and Workflows are fairly intuitive they don’t always cover all the actions that need to be handled. SFDC offers developers the ability to create and run custom code in the instances where the out of box features don’t cover the need. Some examples are complex record updates, branded experiences, Web to Case, Force.com Apps and non APP exchange integrations.</w:t>
      </w:r>
    </w:p>
    <w:p w:rsidR="000B706F" w:rsidRPr="000B706F" w:rsidRDefault="000B706F" w:rsidP="000B706F">
      <w:pPr>
        <w:spacing w:after="0" w:line="240" w:lineRule="auto"/>
        <w:ind w:left="540"/>
        <w:rPr>
          <w:rFonts w:ascii="Calibri" w:eastAsia="Times New Roman" w:hAnsi="Calibri" w:cs="Calibri"/>
          <w:color w:val="222222"/>
          <w:sz w:val="21"/>
          <w:szCs w:val="21"/>
        </w:rPr>
      </w:pPr>
      <w:r w:rsidRPr="000B706F">
        <w:rPr>
          <w:rFonts w:ascii="Calibri" w:eastAsia="Times New Roman" w:hAnsi="Calibri" w:cs="Calibri"/>
          <w:color w:val="222222"/>
          <w:sz w:val="21"/>
          <w:szCs w:val="21"/>
        </w:rPr>
        <w:t> </w:t>
      </w:r>
    </w:p>
    <w:p w:rsidR="000B706F" w:rsidRPr="000B706F" w:rsidRDefault="000B706F" w:rsidP="000B706F">
      <w:pPr>
        <w:numPr>
          <w:ilvl w:val="0"/>
          <w:numId w:val="2"/>
        </w:numPr>
        <w:spacing w:after="0" w:line="240" w:lineRule="auto"/>
        <w:ind w:left="540"/>
        <w:textAlignment w:val="center"/>
        <w:rPr>
          <w:rFonts w:ascii="Calibri" w:eastAsia="Times New Roman" w:hAnsi="Calibri" w:cs="Calibri"/>
          <w:color w:val="222222"/>
        </w:rPr>
      </w:pPr>
      <w:r w:rsidRPr="000B706F">
        <w:rPr>
          <w:rFonts w:ascii="Calibri" w:eastAsia="Times New Roman" w:hAnsi="Calibri" w:cs="Calibri"/>
          <w:color w:val="222222"/>
          <w:sz w:val="21"/>
          <w:szCs w:val="21"/>
        </w:rPr>
        <w:t>What are some key considerations an Apex programmer needs to keep in mind when declaring variables? </w:t>
      </w:r>
    </w:p>
    <w:p w:rsidR="000B706F" w:rsidRPr="000B706F" w:rsidRDefault="000B706F" w:rsidP="000B706F">
      <w:pPr>
        <w:spacing w:after="0" w:line="240" w:lineRule="auto"/>
        <w:ind w:left="540"/>
        <w:textAlignment w:val="center"/>
        <w:rPr>
          <w:rFonts w:ascii="Calibri" w:eastAsia="Times New Roman" w:hAnsi="Calibri" w:cs="Calibri"/>
          <w:color w:val="222222"/>
        </w:rPr>
      </w:pPr>
    </w:p>
    <w:p w:rsidR="000B706F" w:rsidRPr="000B706F" w:rsidRDefault="000B706F" w:rsidP="000B706F">
      <w:pPr>
        <w:numPr>
          <w:ilvl w:val="1"/>
          <w:numId w:val="2"/>
        </w:numPr>
        <w:spacing w:after="0" w:line="240" w:lineRule="auto"/>
        <w:ind w:left="1080"/>
        <w:textAlignment w:val="center"/>
        <w:rPr>
          <w:rFonts w:ascii="Calibri" w:eastAsia="Times New Roman" w:hAnsi="Calibri" w:cs="Calibri"/>
          <w:color w:val="222222"/>
        </w:rPr>
      </w:pPr>
      <w:r w:rsidRPr="000B706F">
        <w:rPr>
          <w:rFonts w:ascii="Calibri" w:eastAsia="Times New Roman" w:hAnsi="Calibri" w:cs="Calibri"/>
          <w:color w:val="222222"/>
          <w:sz w:val="21"/>
          <w:szCs w:val="21"/>
        </w:rPr>
        <w:t>Things an APEX programmer should take into consideration when declaring variables are:</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Declaration vs. Instantiation</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Comprehension</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Use of final</w:t>
      </w:r>
      <w:r>
        <w:rPr>
          <w:rFonts w:ascii="Calibri" w:eastAsia="Times New Roman" w:hAnsi="Calibri" w:cs="Calibri"/>
          <w:color w:val="222222"/>
          <w:sz w:val="21"/>
          <w:szCs w:val="21"/>
        </w:rPr>
        <w:t xml:space="preserve"> (as a Statement)*</w:t>
      </w:r>
      <w:bookmarkStart w:id="0" w:name="_GoBack"/>
      <w:bookmarkEnd w:id="0"/>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Access Level</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Existing data, objects and logic</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 xml:space="preserve">Variable initialization </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Variable Scope</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Case Sensitivity</w:t>
      </w:r>
    </w:p>
    <w:p w:rsidR="000B706F" w:rsidRPr="000B706F" w:rsidRDefault="000B706F" w:rsidP="000B706F">
      <w:pPr>
        <w:numPr>
          <w:ilvl w:val="2"/>
          <w:numId w:val="2"/>
        </w:numPr>
        <w:spacing w:after="0" w:line="240" w:lineRule="auto"/>
        <w:ind w:left="1620"/>
        <w:textAlignment w:val="center"/>
        <w:rPr>
          <w:rFonts w:ascii="Calibri" w:eastAsia="Times New Roman" w:hAnsi="Calibri" w:cs="Calibri"/>
          <w:color w:val="222222"/>
        </w:rPr>
      </w:pPr>
      <w:r w:rsidRPr="000B706F">
        <w:rPr>
          <w:rFonts w:ascii="Calibri" w:eastAsia="Times New Roman" w:hAnsi="Calibri" w:cs="Calibri"/>
          <w:color w:val="222222"/>
          <w:sz w:val="21"/>
          <w:szCs w:val="21"/>
        </w:rPr>
        <w:t>Constants</w:t>
      </w:r>
    </w:p>
    <w:p w:rsidR="000B706F" w:rsidRDefault="000B706F"/>
    <w:sectPr w:rsidR="000B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8519B"/>
    <w:multiLevelType w:val="multilevel"/>
    <w:tmpl w:val="D088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6E7110"/>
    <w:multiLevelType w:val="multilevel"/>
    <w:tmpl w:val="642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6F"/>
    <w:rsid w:val="000B706F"/>
    <w:rsid w:val="00C8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D5A83-E404-47CA-98E2-AAB4C1E0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Davis</dc:creator>
  <cp:keywords/>
  <dc:description/>
  <cp:lastModifiedBy>Derrick Davis</cp:lastModifiedBy>
  <cp:revision>1</cp:revision>
  <dcterms:created xsi:type="dcterms:W3CDTF">2018-12-20T05:43:00Z</dcterms:created>
  <dcterms:modified xsi:type="dcterms:W3CDTF">2018-12-20T05:47:00Z</dcterms:modified>
</cp:coreProperties>
</file>