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C01B1B"/>
          <w:sz w:val="48"/>
          <w:szCs w:val="48"/>
        </w:rPr>
        <w:t xml:space="preserve">ALTRU ASIA PTE LTD</w:t>
      </w:r>
    </w:p>
    <w:p>
      <w:pPr>
        <w:spacing w:after="480" w:before="0"/>
        <w:jc w:val="center"/>
      </w:pPr>
      <w:r>
        <w:rPr>
          <w:rFonts w:ascii="Arial" w:cs="Arial" w:eastAsia="Arial" w:hAnsi="Arial"/>
          <w:color w:val="374151"/>
          <w:sz w:val="24"/>
          <w:szCs w:val="24"/>
        </w:rPr>
        <w:t xml:space="preserve">altru.asia</w:t>
      </w:r>
    </w:p>
    <w:p>
      <w:pPr>
        <w:pBdr>
          <w:bottom w:val="single" w:color="C01B1B" w:sz="3" w:space="1"/>
        </w:pBdr>
        <w:spacing w:after="120" w:before="0"/>
        <w:jc w:val="center"/>
      </w:pPr>
      <w:r>
        <w:rPr>
          <w:sz w:val="22"/>
          <w:szCs w:val="22"/>
        </w:rPr>
        <w:t xml:space="preserve"/>
      </w:r>
    </w:p>
    <w:p>
      <w:pPr>
        <w:spacing w:after="240" w:before="0"/>
      </w:pPr>
      <w:r>
        <w:t xml:space="preserve"/>
      </w:r>
    </w:p>
    <w:p>
      <w:pPr>
        <w:spacing w:after="160" w:before="0"/>
        <w:jc w:val="center"/>
      </w:pPr>
      <w:r>
        <w:rPr>
          <w:rFonts w:ascii="Arial" w:cs="Arial" w:eastAsia="Arial" w:hAnsi="Arial"/>
          <w:b/>
          <w:bCs/>
          <w:color w:val="1E3A5F"/>
          <w:sz w:val="36"/>
          <w:szCs w:val="36"/>
        </w:rPr>
        <w:t xml:space="preserve">REGULATORY COMPLIANCE FRAMEWORK</w:t>
      </w:r>
    </w:p>
    <w:p>
      <w:pPr>
        <w:spacing w:after="80" w:before="0"/>
        <w:jc w:val="center"/>
      </w:pPr>
      <w:r>
        <w:rPr>
          <w:rFonts w:ascii="Arial" w:cs="Arial" w:eastAsia="Arial" w:hAnsi="Arial"/>
          <w:color w:val="374151"/>
          <w:sz w:val="26"/>
          <w:szCs w:val="26"/>
        </w:rPr>
        <w:t xml:space="preserve">Singapore Laws, Regulations &amp; Policies</w:t>
      </w:r>
    </w:p>
    <w:p>
      <w:pPr>
        <w:spacing w:after="80" w:before="0"/>
        <w:jc w:val="center"/>
      </w:pPr>
      <w:r>
        <w:rPr>
          <w:rFonts w:ascii="Arial" w:cs="Arial" w:eastAsia="Arial" w:hAnsi="Arial"/>
          <w:color w:val="374151"/>
          <w:sz w:val="26"/>
          <w:szCs w:val="26"/>
        </w:rPr>
        <w:t xml:space="preserve">Pre-Launch Compliance Assessment</w:t>
      </w:r>
    </w:p>
    <w:p>
      <w:pPr>
        <w:spacing w:after="4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Prepared by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Altru Management Team</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May 2026</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Version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 Pre-Launch</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Confidentiality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 — Internal Use Only</w:t>
            </w:r>
          </w:p>
        </w:tc>
      </w:tr>
    </w:tbl>
    <w:p>
      <w:pPr>
        <w:spacing w:after="2000" w:before="0"/>
      </w:pPr>
      <w:r>
        <w:t xml:space="preserve"/>
      </w:r>
    </w:p>
    <w:p>
      <w:pPr>
        <w:spacing w:after="0" w:before="0"/>
        <w:jc w:val="center"/>
      </w:pPr>
      <w:r>
        <w:rPr>
          <w:rFonts w:ascii="Arial" w:cs="Arial" w:eastAsia="Arial" w:hAnsi="Arial"/>
          <w:i/>
          <w:iCs/>
          <w:color w:val="374151"/>
          <w:sz w:val="18"/>
          <w:szCs w:val="18"/>
        </w:rPr>
        <w:t xml:space="preserve">This document is prepared for internal review and submission to management. It does not constitute legal advice. Altru should engage qualified Singapore legal counsel to confirm all regulatory positions before launch.</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C01B1B"/>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C01B1B"/>
          <w:sz w:val="28"/>
          <w:szCs w:val="28"/>
        </w:rPr>
        <w:t xml:space="preserve">1. Executive Summary</w:t>
      </w:r>
    </w:p>
    <w:p>
      <w:pPr>
        <w:spacing w:after="80" w:before="60"/>
      </w:pPr>
      <w:r>
        <w:rPr>
          <w:rFonts w:ascii="Arial" w:cs="Arial" w:eastAsia="Arial" w:hAnsi="Arial"/>
          <w:color w:val="111827"/>
          <w:sz w:val="22"/>
          <w:szCs w:val="22"/>
        </w:rPr>
        <w:t xml:space="preserve">Altru Asia Pte Ltd ("Altru") is a Singapore-incorporated technology company operating a wedding charitable gifting platform. The platform enables wedding guests to send monetary gifts ("ang bao") where a portion is donated to a Singapore-registered Institution of a Public Character (IPC) charity in the couple's name, with the remainder going to the couple. Altru earns a 5% platform fee invoiced to the charity on funds disbursed.</w:t>
      </w:r>
    </w:p>
    <w:p>
      <w:pPr>
        <w:spacing w:after="80" w:before="0"/>
      </w:pPr>
      <w:r>
        <w:t xml:space="preserve"/>
      </w:r>
    </w:p>
    <w:p>
      <w:pPr>
        <w:spacing w:after="80" w:before="60"/>
      </w:pPr>
      <w:r>
        <w:rPr>
          <w:rFonts w:ascii="Arial" w:cs="Arial" w:eastAsia="Arial" w:hAnsi="Arial"/>
          <w:color w:val="111827"/>
          <w:sz w:val="22"/>
          <w:szCs w:val="22"/>
        </w:rPr>
        <w:t xml:space="preserve">This document sets out the complete regulatory compliance framework that Altru must satisfy before and after launching its platform. It covers nine distinct regulatory areas under Singapore law, identifying specific obligations, risks, and required actions for each.</w:t>
      </w:r>
    </w:p>
    <w:p>
      <w:pPr>
        <w:spacing w:after="80" w:before="0"/>
      </w:pPr>
      <w:r>
        <w:t xml:space="preserve"/>
      </w:r>
    </w:p>
    <w:p>
      <w:pPr>
        <w:spacing w:after="80" w:before="60"/>
      </w:pPr>
      <w:r>
        <w:rPr>
          <w:rFonts w:ascii="Arial" w:cs="Arial" w:eastAsia="Arial" w:hAnsi="Arial"/>
          <w:b/>
          <w:bCs/>
          <w:color w:val="111827"/>
          <w:sz w:val="22"/>
          <w:szCs w:val="22"/>
        </w:rPr>
        <w:t xml:space="preserve">Key findings:</w:t>
      </w:r>
    </w:p>
    <w:p>
      <w:pPr>
        <w:pStyle w:val="ListParagraph"/>
        <w:numPr>
          <w:ilvl w:val="0"/>
          <w:numId w:val="2"/>
        </w:numPr>
        <w:spacing w:after="40" w:before="40"/>
      </w:pPr>
      <w:r>
        <w:rPr>
          <w:rFonts w:ascii="Arial" w:cs="Arial" w:eastAsia="Arial" w:hAnsi="Arial"/>
          <w:color w:val="111827"/>
          <w:sz w:val="22"/>
          <w:szCs w:val="22"/>
        </w:rPr>
        <w:t xml:space="preserve">Altru's most significant regulatory risk is under the Payment Services Act 2019 (PSA). Holding donor funds in a corporate bank account for up to 14 days during the couple-authorisation window may constitute a "domestic money transfer service," requiring either a Standard Payment Institution licence from MAS or reliance on the small-scale exemption (applicable if annual throughput remains below S$3 million). A formal legal opinion from Singapore payments counsel is required before launch.</w:t>
      </w:r>
    </w:p>
    <w:p>
      <w:pPr>
        <w:pStyle w:val="ListParagraph"/>
        <w:numPr>
          <w:ilvl w:val="0"/>
          <w:numId w:val="2"/>
        </w:numPr>
        <w:spacing w:after="40" w:before="40"/>
      </w:pPr>
      <w:r>
        <w:rPr>
          <w:rFonts w:ascii="Arial" w:cs="Arial" w:eastAsia="Arial" w:hAnsi="Arial"/>
          <w:color w:val="111827"/>
          <w:sz w:val="22"/>
          <w:szCs w:val="22"/>
        </w:rPr>
        <w:t xml:space="preserve">Under the Charities Act 1994, Altru is a "commercial fund-raiser" and must have a signed written agreement with each partner IPC charity before soliciting any donations, ensure all donations are paid gross directly to the charity, and apply for a fundraising permit from the Commissioner of Charities at least 30 days before each fundraising appeal (if required).</w:t>
      </w:r>
    </w:p>
    <w:p>
      <w:pPr>
        <w:pStyle w:val="ListParagraph"/>
        <w:numPr>
          <w:ilvl w:val="0"/>
          <w:numId w:val="2"/>
        </w:numPr>
        <w:spacing w:after="40" w:before="40"/>
      </w:pPr>
      <w:r>
        <w:rPr>
          <w:rFonts w:ascii="Arial" w:cs="Arial" w:eastAsia="Arial" w:hAnsi="Arial"/>
          <w:color w:val="111827"/>
          <w:sz w:val="22"/>
          <w:szCs w:val="22"/>
        </w:rPr>
        <w:t xml:space="preserve">The Personal Data Protection Act 2012 (as amended 2021) imposes strict obligations on the collection of NRIC numbers, mandatory data breach notification within 3 calendar days of a notifiable breach, and the appointment of a Data Protection Officer — all of which Altru has partially addressed.</w:t>
      </w:r>
    </w:p>
    <w:p>
      <w:pPr>
        <w:pStyle w:val="ListParagraph"/>
        <w:numPr>
          <w:ilvl w:val="0"/>
          <w:numId w:val="2"/>
        </w:numPr>
        <w:spacing w:after="40" w:before="40"/>
      </w:pPr>
      <w:r>
        <w:rPr>
          <w:rFonts w:ascii="Arial" w:cs="Arial" w:eastAsia="Arial" w:hAnsi="Arial"/>
          <w:color w:val="111827"/>
          <w:sz w:val="22"/>
          <w:szCs w:val="22"/>
        </w:rPr>
        <w:t xml:space="preserve">MAS Notice PSN01 (AML/CFT) may apply if Altru is licensed or requires registration under the PSA, imposing customer due diligence, suspicious transaction reporting, and 5-year record retention obligations.</w:t>
      </w:r>
    </w:p>
    <w:p>
      <w:pPr>
        <w:pStyle w:val="ListParagraph"/>
        <w:numPr>
          <w:ilvl w:val="0"/>
          <w:numId w:val="2"/>
        </w:numPr>
        <w:spacing w:after="40" w:before="40"/>
      </w:pPr>
      <w:r>
        <w:rPr>
          <w:rFonts w:ascii="Arial" w:cs="Arial" w:eastAsia="Arial" w:hAnsi="Arial"/>
          <w:color w:val="111827"/>
          <w:sz w:val="22"/>
          <w:szCs w:val="22"/>
        </w:rPr>
        <w:t xml:space="preserve">Six additional regulatory areas — IRAS IPC tax deduction mechanics, the Consumer Protection (Fair Trading) Act, Spam Control Act, MAS Technology Risk Management Guidelines, ACRA corporate compliance, and the Electronic Transactions Act — impose requirements that are either straightforward to satisfy or already partially in place.</w:t>
      </w:r>
    </w:p>
    <w:p>
      <w:pPr>
        <w:spacing w:after="120" w:before="0"/>
      </w:pPr>
      <w:r>
        <w:t xml:space="preserve"/>
      </w:r>
    </w:p>
    <w:p>
      <w:pPr>
        <w:spacing w:after="80" w:before="60"/>
      </w:pPr>
      <w:r>
        <w:rPr>
          <w:rFonts w:ascii="Arial" w:cs="Arial" w:eastAsia="Arial" w:hAnsi="Arial"/>
          <w:b/>
          <w:bCs/>
          <w:color w:val="111827"/>
          <w:sz w:val="22"/>
          <w:szCs w:val="22"/>
        </w:rPr>
        <w:t xml:space="preserve">Overall risk assessment: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Regulation / Law</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Obligation for Altru</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Services Act (PSA)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Possible licence or exemption requirement for holding donor funds 14 days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HIGH</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Action Required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Charities Act / Fundraising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Written agreement, gross donation, fundraising permit</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HIGH</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Action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IRAS — IPC Tax Deduction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Donor tax reference, couple-as-named-donor mechanic</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HIGH</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Action Required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PDPA 2012 (Amended 2021)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NRIC handling, DPO, data breach notification, consent</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In Progress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MAS AML / CFT (PSN01)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Customer due diligence, sanctions screening, STR filing</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In Progress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MAS TRM Guidelines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Cybersecurity, incident response, third-party risk</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MEDIUM</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Action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Consumer Protection (CPFTA)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unfair practices, transparent fee disclosure</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LOW</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In Progress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Spam Control Act / PDPA Marketing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Consent, unsubscribe, sender identification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LOW</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In Progress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Companies Act / ACRA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 return, AGM, financial statements, director duties</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LOW</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In Progress</w:t>
            </w:r>
          </w:p>
        </w:tc>
      </w:tr>
    </w:tbl>
    <w:p>
      <w:r>
        <w:br w:type="page"/>
      </w:r>
    </w:p>
    <w:p>
      <w:pPr>
        <w:pStyle w:val="Heading1"/>
        <w:spacing w:after="120" w:before="360"/>
      </w:pPr>
      <w:r>
        <w:rPr>
          <w:rFonts w:ascii="Arial" w:cs="Arial" w:eastAsia="Arial" w:hAnsi="Arial"/>
          <w:b/>
          <w:bCs/>
          <w:color w:val="C01B1B"/>
          <w:sz w:val="28"/>
          <w:szCs w:val="28"/>
        </w:rPr>
        <w:t xml:space="preserve">2. Business Model Summary</w:t>
      </w:r>
    </w:p>
    <w:p>
      <w:pPr>
        <w:spacing w:after="80" w:before="60"/>
      </w:pPr>
      <w:r>
        <w:rPr>
          <w:rFonts w:ascii="Arial" w:cs="Arial" w:eastAsia="Arial" w:hAnsi="Arial"/>
          <w:color w:val="111827"/>
          <w:sz w:val="22"/>
          <w:szCs w:val="22"/>
        </w:rPr>
        <w:t xml:space="preserve">The following business model description is provided to give context for the regulatory analysis in subsequent sections.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Type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Third-party charitable fundraising platform with a payment escrow component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Incorporated Entity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Altru Asia Pte Ltd — Singapore Pte Ltd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Revenue Model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platform fee invoiced monthly to partner IPC charities on funds disbursed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Payment Flow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Guest pays via PayNow (HitPay) → funds held in Altru's DBS escrow account (up to 14 days) → couple authorises → Altru transfers charity portion to charity's PayNow UEN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Fund Holding Period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 days (couple-authorisation window). Auto-refund if not authorised.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Charity Partners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Singapore IPC-registered charities only (3 confirmed, ~8 pending)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Tax Angle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 IRAS tax deduction on donations made in the couple's name (IPC charities only)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PSP</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HitPay Payment Solutions Pte Ltd (MAS-licensed Major Payment Institution)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Target Audience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Singapore wedding guests (donors) and couples getting married in Singapore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r>
        <w:br w:type="page"/>
      </w:r>
    </w:p>
    <w:p>
      <w:pPr>
        <w:pStyle w:val="Heading1"/>
        <w:spacing w:after="120" w:before="360"/>
      </w:pPr>
      <w:r>
        <w:rPr>
          <w:rFonts w:ascii="Arial" w:cs="Arial" w:eastAsia="Arial" w:hAnsi="Arial"/>
          <w:b/>
          <w:bCs/>
          <w:color w:val="C01B1B"/>
          <w:sz w:val="28"/>
          <w:szCs w:val="28"/>
        </w:rPr>
        <w:t xml:space="preserve">3. Payment Services Act 2019 (PSA)</w:t>
      </w:r>
    </w:p>
    <w:p>
      <w:pPr>
        <w:pStyle w:val="Heading2"/>
        <w:spacing w:after="80" w:before="280"/>
      </w:pPr>
      <w:r>
        <w:rPr>
          <w:rFonts w:ascii="Arial" w:cs="Arial" w:eastAsia="Arial" w:hAnsi="Arial"/>
          <w:b/>
          <w:bCs/>
          <w:color w:val="1E3A5F"/>
          <w:sz w:val="24"/>
          <w:szCs w:val="24"/>
        </w:rPr>
        <w:t xml:space="preserve">3.1 Overview and Applicability</w:t>
      </w:r>
    </w:p>
    <w:p>
      <w:pPr>
        <w:spacing w:after="80" w:before="60"/>
      </w:pPr>
      <w:r>
        <w:rPr>
          <w:rFonts w:ascii="Arial" w:cs="Arial" w:eastAsia="Arial" w:hAnsi="Arial"/>
          <w:color w:val="111827"/>
          <w:sz w:val="22"/>
          <w:szCs w:val="22"/>
        </w:rPr>
        <w:t xml:space="preserve">The Payment Services Act 2019 (Act 2 of 2019), as amended by the Payment Services (Amendment) Act 2021, is the primary legislation regulating payment service providers in Singapore. It is administered by the Monetary Authority of Singapore (MAS).</w:t>
      </w:r>
    </w:p>
    <w:p>
      <w:pPr>
        <w:spacing w:after="80" w:before="0"/>
      </w:pPr>
      <w:r>
        <w:t xml:space="preserve"/>
      </w:r>
    </w:p>
    <w:p>
      <w:pPr>
        <w:spacing w:after="80" w:before="60"/>
      </w:pPr>
      <w:r>
        <w:rPr>
          <w:rFonts w:ascii="Arial" w:cs="Arial" w:eastAsia="Arial" w:hAnsi="Arial"/>
          <w:color w:val="111827"/>
          <w:sz w:val="22"/>
          <w:szCs w:val="22"/>
        </w:rPr>
        <w:t xml:space="preserve">The PSA defines seven categories of payment service. The most relevant to Altru is the domestic money transfer service: the service of accepting money for the purposes of executing a payment transaction between a payer and a payee, both located in Singapore.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B91C1C"/>
                <w:sz w:val="18"/>
                <w:szCs w:val="18"/>
              </w:rPr>
              <w:t xml:space="preserve">WHY IT APPLIES</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Altru receives donor funds (PayNow via HitPay), holds them in its corporate bank account for up to 14 days pending couple authorisation, then transfers the charity portion to the charity's PayNow UEN. This fund-holding and subsequent transfer pattern may meet the PSA definition of a domestic money transfer service, even though HitPay handles the front-end PayNow processing.</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3.2 Licence Types and Thresholds</w:t>
      </w:r>
    </w:p>
    <w:p>
      <w:pPr>
        <w:spacing w:after="80" w:before="60"/>
      </w:pPr>
      <w:r>
        <w:rPr>
          <w:rFonts w:ascii="Arial" w:cs="Arial" w:eastAsia="Arial" w:hAnsi="Arial"/>
          <w:color w:val="111827"/>
          <w:sz w:val="22"/>
          <w:szCs w:val="22"/>
        </w:rPr>
        <w:t xml:space="preserve">If Altru's activities constitute a regulated payment service, it must hold one of the following licences: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Standard Payment Institution (SPI)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Required if monthly transaction volume for any single payment service is below S$3 million. Minimum paid-up capital: S$100,000.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Criminal liability; MAS enforcement; fines up to S$125,000 and/or 3 years imprisonment for unlicensed operation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Major Payment Institution (MPI)</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Required if monthly transaction volume exceeds S$3 million. Minimum paid-up capital: S$250,000.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Same criminal liability as above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Small Business Exemption / Exemption Order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 may issue exemptions by order. No automatic small-scale exemption exists for new entrants.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Reliance on an exemption that does not apply exposes Altru to criminal liability</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3.3 Safeguarding Requirements</w:t>
      </w:r>
    </w:p>
    <w:p>
      <w:pPr>
        <w:spacing w:after="80" w:before="60"/>
      </w:pPr>
      <w:r>
        <w:rPr>
          <w:rFonts w:ascii="Arial" w:cs="Arial" w:eastAsia="Arial" w:hAnsi="Arial"/>
          <w:color w:val="111827"/>
          <w:sz w:val="22"/>
          <w:szCs w:val="22"/>
        </w:rPr>
        <w:t xml:space="preserve">PSA-licensed payment service providers offering domestic money transfer services are required to safeguard customer funds. Prescribed methods include:</w:t>
      </w:r>
    </w:p>
    <w:p>
      <w:pPr>
        <w:pStyle w:val="ListParagraph"/>
        <w:numPr>
          <w:ilvl w:val="0"/>
          <w:numId w:val="2"/>
        </w:numPr>
        <w:spacing w:after="40" w:before="40"/>
      </w:pPr>
      <w:r>
        <w:rPr>
          <w:rFonts w:ascii="Arial" w:cs="Arial" w:eastAsia="Arial" w:hAnsi="Arial"/>
          <w:color w:val="111827"/>
          <w:sz w:val="22"/>
          <w:szCs w:val="22"/>
        </w:rPr>
        <w:t xml:space="preserve">Holding customer monies in a trust account at a bank in Singapore</w:t>
      </w:r>
    </w:p>
    <w:p>
      <w:pPr>
        <w:pStyle w:val="ListParagraph"/>
        <w:numPr>
          <w:ilvl w:val="0"/>
          <w:numId w:val="2"/>
        </w:numPr>
        <w:spacing w:after="40" w:before="40"/>
      </w:pPr>
      <w:r>
        <w:rPr>
          <w:rFonts w:ascii="Arial" w:cs="Arial" w:eastAsia="Arial" w:hAnsi="Arial"/>
          <w:color w:val="111827"/>
          <w:sz w:val="22"/>
          <w:szCs w:val="22"/>
        </w:rPr>
        <w:t xml:space="preserve">Obtaining a bank guarantee from a Singapore bank in the full amount of customer monies outstanding</w:t>
      </w:r>
    </w:p>
    <w:p>
      <w:pPr>
        <w:pStyle w:val="ListParagraph"/>
        <w:numPr>
          <w:ilvl w:val="0"/>
          <w:numId w:val="2"/>
        </w:numPr>
        <w:spacing w:after="40" w:before="40"/>
      </w:pPr>
      <w:r>
        <w:rPr>
          <w:rFonts w:ascii="Arial" w:cs="Arial" w:eastAsia="Arial" w:hAnsi="Arial"/>
          <w:color w:val="111827"/>
          <w:sz w:val="22"/>
          <w:szCs w:val="22"/>
        </w:rPr>
        <w:t xml:space="preserve">Holding customer monies in a designated account, as prescribed by MAS regulations</w:t>
      </w:r>
    </w:p>
    <w:p>
      <w:pPr>
        <w:spacing w:after="80" w:before="0"/>
      </w:pPr>
      <w:r>
        <w:t xml:space="preserve"/>
      </w:r>
    </w:p>
    <w:p>
      <w:pPr>
        <w:spacing w:after="80" w:before="60"/>
      </w:pPr>
      <w:r>
        <w:rPr>
          <w:rFonts w:ascii="Arial" w:cs="Arial" w:eastAsia="Arial" w:hAnsi="Arial"/>
          <w:color w:val="111827"/>
          <w:sz w:val="22"/>
          <w:szCs w:val="22"/>
        </w:rPr>
        <w:t xml:space="preserve">Altru's proposed model of holding funds in a segregated corporate DBS escrow account is not automatically compliant with PSA safeguarding requirements — the fund-holding must be structured as prescribed by MAS regulations for it to qualify.</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3.4 Alternative Fund-Flow Structures</w:t>
      </w:r>
    </w:p>
    <w:p>
      <w:pPr>
        <w:spacing w:after="80" w:before="60"/>
      </w:pPr>
      <w:r>
        <w:rPr>
          <w:rFonts w:ascii="Arial" w:cs="Arial" w:eastAsia="Arial" w:hAnsi="Arial"/>
          <w:color w:val="111827"/>
          <w:sz w:val="22"/>
          <w:szCs w:val="22"/>
        </w:rPr>
        <w:t xml:space="preserve">Two alternative structures may remove or reduce the PSA licensing question:</w:t>
      </w:r>
    </w:p>
    <w:p>
      <w:pPr>
        <w:pStyle w:val="ListParagraph"/>
        <w:numPr>
          <w:ilvl w:val="0"/>
          <w:numId w:val="3"/>
        </w:numPr>
        <w:spacing w:after="40" w:before="40"/>
      </w:pPr>
      <w:r>
        <w:rPr>
          <w:rFonts w:ascii="Arial" w:cs="Arial" w:eastAsia="Arial" w:hAnsi="Arial"/>
          <w:color w:val="111827"/>
          <w:sz w:val="22"/>
          <w:szCs w:val="22"/>
        </w:rPr>
        <w:t xml:space="preserve">HitPay payment-splitting: If HitPay can split each incoming PayNow payment at source — routing the charity portion directly to the charity UEN and the personal portion to the couple — Altru would not hold donor funds at all. This would clean-remove the PSA question. This requires confirmation from HitPay's integration team.</w:t>
      </w:r>
    </w:p>
    <w:p>
      <w:pPr>
        <w:pStyle w:val="ListParagraph"/>
        <w:numPr>
          <w:ilvl w:val="0"/>
          <w:numId w:val="3"/>
        </w:numPr>
        <w:spacing w:after="40" w:before="40"/>
      </w:pPr>
      <w:r>
        <w:rPr>
          <w:rFonts w:ascii="Arial" w:cs="Arial" w:eastAsia="Arial" w:hAnsi="Arial"/>
          <w:color w:val="111827"/>
          <w:sz w:val="22"/>
          <w:szCs w:val="22"/>
        </w:rPr>
        <w:t xml:space="preserve">14-day window inside HitPay: If the couple-authorisation window is enforced inside HitPay's own refund window (with Altru not receiving funds until the couple authorises), Altru would avoid holding customer funds entirely.</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3.5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Legal opinion on PSA posture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Engage Singapore payments counsel to confirm whether Altru's fund-flow constitutes a "domestic money transfer service" under PSA s.2 and whether the small-scale exemption or another exemption applies.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Must be resolved before launch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HitPay payment-split capability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Verify with HitPay sales/integration whether a split payment flow (one PayNow tap → fork at HitPay to charity UEN and couple) is technically available.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 Would remove PSA question if available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SPI licence application (if required)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legal opinion confirms PSA applies, apply for a Standard Payment Institution licence. Application processing: 6-12 months. Capital requirement: S$100,000.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Significant lead time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Trust account setup (if licensed)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If licensed, customer funds must be held in a MAS-prescribed trust account, not a standard corporate bank account.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 Required before accepting real funds if licensed</w:t>
            </w:r>
          </w:p>
        </w:tc>
      </w:tr>
    </w:tbl>
    <w:p>
      <w:r>
        <w:br w:type="page"/>
      </w:r>
    </w:p>
    <w:p>
      <w:pPr>
        <w:pStyle w:val="Heading1"/>
        <w:spacing w:after="120" w:before="360"/>
      </w:pPr>
      <w:r>
        <w:rPr>
          <w:rFonts w:ascii="Arial" w:cs="Arial" w:eastAsia="Arial" w:hAnsi="Arial"/>
          <w:b/>
          <w:bCs/>
          <w:color w:val="C01B1B"/>
          <w:sz w:val="28"/>
          <w:szCs w:val="28"/>
        </w:rPr>
        <w:t xml:space="preserve">4. Charities Act 1994 and Commissioner of Charities Requirements</w:t>
      </w:r>
    </w:p>
    <w:p>
      <w:pPr>
        <w:pStyle w:val="Heading2"/>
        <w:spacing w:after="80" w:before="280"/>
      </w:pPr>
      <w:r>
        <w:rPr>
          <w:rFonts w:ascii="Arial" w:cs="Arial" w:eastAsia="Arial" w:hAnsi="Arial"/>
          <w:b/>
          <w:bCs/>
          <w:color w:val="1E3A5F"/>
          <w:sz w:val="24"/>
          <w:szCs w:val="24"/>
        </w:rPr>
        <w:t xml:space="preserve">4.1 Overview and Applicability</w:t>
      </w:r>
    </w:p>
    <w:p>
      <w:pPr>
        <w:spacing w:after="80" w:before="60"/>
      </w:pPr>
      <w:r>
        <w:rPr>
          <w:rFonts w:ascii="Arial" w:cs="Arial" w:eastAsia="Arial" w:hAnsi="Arial"/>
          <w:color w:val="111827"/>
          <w:sz w:val="22"/>
          <w:szCs w:val="22"/>
        </w:rPr>
        <w:t xml:space="preserve">The Charities Act 1994 (Chapter 37) and its subsidiary legislation — including the Charities (Fund-raising Appeals for Local and Foreign Charitable Purposes) Regulations 2012 (as amended) — govern how organisations may raise funds for charitable causes in Singapore. The Act is administered by the Commissioner of Charities (COC) under the Ministry of Culture, Community and Youth (MCCY).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jc w:val="center"/>
            </w:pPr>
            <w:r>
              <w:rPr>
                <w:rFonts w:ascii="Arial" w:cs="Arial" w:eastAsia="Arial" w:hAnsi="Arial"/>
                <w:b/>
                <w:bCs/>
                <w:color w:val="B91C1C"/>
                <w:sz w:val="18"/>
                <w:szCs w:val="18"/>
              </w:rPr>
              <w:t xml:space="preserve">WHY IT APPLIES</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Altru is a "commercial fund-raiser" under the Charities Act — it is engaged at a fee (5% platform fee) to conduct fundraising activities (soliciting and processing donations) on behalf of IPC charities. This classification triggers a specific set of obligations that differ from those applicable to the charities themselves.</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4.2 Commercial Fund-Raiser Definition</w:t>
      </w:r>
    </w:p>
    <w:p>
      <w:pPr>
        <w:spacing w:after="80" w:before="60"/>
      </w:pPr>
      <w:r>
        <w:rPr>
          <w:rFonts w:ascii="Arial" w:cs="Arial" w:eastAsia="Arial" w:hAnsi="Arial"/>
          <w:color w:val="111827"/>
          <w:sz w:val="22"/>
          <w:szCs w:val="22"/>
        </w:rPr>
        <w:t xml:space="preserve">A commercial fund-raiser is defined as any person who, for reward, solicits or otherwise procures money or other property for charitable purposes. Altru earns a 5% platform fee on funds disbursed to charities — this constitutes "for reward" and triggers the commercial fund-raiser provisions.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4.3 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Written agreement with each charity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written agreement must be signed with each partner IPC charity BEFORE soliciting donations. The agreement must specify: the charitable purposes, the period of the appeal, the fee/remuneration structure (5%), how donations will be handled, and reporting obligations.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Criminal liability: fine up to S$10,000 and/or 3 years imprisonment for conducting a fund-raising appeal without a valid arrangement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Donations paid gross to charity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All donations received on behalf of the charity must be paid in gross directly to the charity. Altru may not deduct its 5% fee from donor funds — the fee must be invoiced to the charity separately and paid by the charity.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Breach of Charities Act; potential criminal liability; reputational damage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Fundraising permit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permit from the Commissioner of Charities is required to conduct a public fund-raising appeal. Application must be submitted at least 30 days before the appeal commences via the Charity Portal. Certain exemptions exist for online platforms — legal advice should confirm whether a permit is required for each campaign 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Fine up to S$10,000 and/or 3 years imprisonment for conducting an appeal without a valid permit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Statement of Accounts (SOA)</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Within 60 days of the end of a fund-raising appeal, an audited SOA must be submitted. If funds raised exceed S$10,000, the SOA must be audited by a Public Accountant.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Regulatory breach; permit may not be renewed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Disclosure on solicitation materials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donor-facing pages and marketing materials must disclose: the proportion of proceeds going to charitable causes, the name and status of Altru as a commercial fund-raiser, and how Altru's remuneration is calculated.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Breach of transparency requirements under the Charities Act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Fund-raising expense ratio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Altru's fundraising expenses must not exceed 30% of gross funds raised (this limit applies to the charities' fundraising costs, but Altru should be aware in structuring its fee).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IPC status of partner charities may be jeopardised if the 30% threshold is breached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5-year record retention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Records of all fund-raising activities, agreements, and accounts must be retained for 5 years (Charities Act requirement for IPCs and their fundraisers).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Regulatory breach; potential loss of fundraising permit</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4.4 IPC Partner Charity Requirements</w:t>
      </w:r>
    </w:p>
    <w:p>
      <w:pPr>
        <w:spacing w:after="80" w:before="60"/>
      </w:pPr>
      <w:r>
        <w:rPr>
          <w:rFonts w:ascii="Arial" w:cs="Arial" w:eastAsia="Arial" w:hAnsi="Arial"/>
          <w:color w:val="111827"/>
          <w:sz w:val="22"/>
          <w:szCs w:val="22"/>
        </w:rPr>
        <w:t xml:space="preserve">Each charity Altru partners with must hold current IPC status. IPC requirements include:</w:t>
      </w:r>
    </w:p>
    <w:p>
      <w:pPr>
        <w:pStyle w:val="ListParagraph"/>
        <w:numPr>
          <w:ilvl w:val="0"/>
          <w:numId w:val="2"/>
        </w:numPr>
        <w:spacing w:after="40" w:before="40"/>
      </w:pPr>
      <w:r>
        <w:rPr>
          <w:rFonts w:ascii="Arial" w:cs="Arial" w:eastAsia="Arial" w:hAnsi="Arial"/>
          <w:color w:val="111827"/>
          <w:sz w:val="22"/>
          <w:szCs w:val="22"/>
        </w:rPr>
        <w:t xml:space="preserve">Dedicated to serving the community in Singapore as a whole (not sectional interests)</w:t>
      </w:r>
    </w:p>
    <w:p>
      <w:pPr>
        <w:pStyle w:val="ListParagraph"/>
        <w:numPr>
          <w:ilvl w:val="0"/>
          <w:numId w:val="2"/>
        </w:numPr>
        <w:spacing w:after="40" w:before="40"/>
      </w:pPr>
      <w:r>
        <w:rPr>
          <w:rFonts w:ascii="Arial" w:cs="Arial" w:eastAsia="Arial" w:hAnsi="Arial"/>
          <w:color w:val="111827"/>
          <w:sz w:val="22"/>
          <w:szCs w:val="22"/>
        </w:rPr>
        <w:t xml:space="preserve">At least 50% of governing board members are Singapore citizens</w:t>
      </w:r>
    </w:p>
    <w:p>
      <w:pPr>
        <w:pStyle w:val="ListParagraph"/>
        <w:numPr>
          <w:ilvl w:val="0"/>
          <w:numId w:val="2"/>
        </w:numPr>
        <w:spacing w:after="40" w:before="40"/>
      </w:pPr>
      <w:r>
        <w:rPr>
          <w:rFonts w:ascii="Arial" w:cs="Arial" w:eastAsia="Arial" w:hAnsi="Arial"/>
          <w:color w:val="111827"/>
          <w:sz w:val="22"/>
          <w:szCs w:val="22"/>
        </w:rPr>
        <w:t xml:space="preserve">Already registered as a charity or exempt charity in Singapore</w:t>
      </w:r>
    </w:p>
    <w:p>
      <w:pPr>
        <w:pStyle w:val="ListParagraph"/>
        <w:numPr>
          <w:ilvl w:val="0"/>
          <w:numId w:val="2"/>
        </w:numPr>
        <w:spacing w:after="40" w:before="40"/>
      </w:pPr>
      <w:r>
        <w:rPr>
          <w:rFonts w:ascii="Arial" w:cs="Arial" w:eastAsia="Arial" w:hAnsi="Arial"/>
          <w:color w:val="111827"/>
          <w:sz w:val="22"/>
          <w:szCs w:val="22"/>
        </w:rPr>
        <w:t xml:space="preserve">IPC status is granted for periods of 1-5 years and must be renewed</w:t>
      </w:r>
    </w:p>
    <w:p>
      <w:pPr>
        <w:spacing w:after="80" w:before="0"/>
      </w:pPr>
      <w:r>
        <w:t xml:space="preserve"/>
      </w:r>
    </w:p>
    <w:p>
      <w:pPr>
        <w:spacing w:after="80" w:before="60"/>
      </w:pPr>
      <w:r>
        <w:rPr>
          <w:rFonts w:ascii="Arial" w:cs="Arial" w:eastAsia="Arial" w:hAnsi="Arial"/>
          <w:color w:val="111827"/>
          <w:sz w:val="22"/>
          <w:szCs w:val="22"/>
        </w:rPr>
        <w:t xml:space="preserve">Altru must verify IPC status of all partner charities before each fundraising campaign and monitor for IPC renewal dates. All 3 current confirmed partners (Singapore Cancer Society, Spirit of Enterprise, Boys' Town) hold current IPC status.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4.5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Execute PFA with each charity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and sign a Professional Fund-raising Agreement (PFA) with each of the 3 confirmed charities before go-live. Template available from COC / legal counsel.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 — Must be done before soliciting any donations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Apply for fundraising permit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Apply to COC via Charity Portal at least 30 days before each fundraising appeal. Confirm with legal counsel whether a single standing permit or per-campaign permits are required.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 30-day lead time required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donor-facing disclosures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/donor.html, /charities.html, and all marketing materials to include mandatory disclosures (commercial fund-raiser status, fee structure, charity allocation).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Required before launch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IPC status monitoring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Build a process to verify IPC status of all charities annually and before onboarding new charity partners.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MEDIUM — Ongoing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SOA process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Establish a post-campaign Statement of Accounts process and identify a Public Accountant to audit SOAs where funds exceed S$10,000.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 — Pre-launch setup required</w:t>
            </w:r>
          </w:p>
        </w:tc>
      </w:tr>
    </w:tbl>
    <w:p>
      <w:r>
        <w:br w:type="page"/>
      </w:r>
    </w:p>
    <w:p>
      <w:pPr>
        <w:pStyle w:val="Heading1"/>
        <w:spacing w:after="120" w:before="360"/>
      </w:pPr>
      <w:r>
        <w:rPr>
          <w:rFonts w:ascii="Arial" w:cs="Arial" w:eastAsia="Arial" w:hAnsi="Arial"/>
          <w:b/>
          <w:bCs/>
          <w:color w:val="C01B1B"/>
          <w:sz w:val="28"/>
          <w:szCs w:val="28"/>
        </w:rPr>
        <w:t xml:space="preserve">5. IRAS — IPC Donation Tax Deduction</w:t>
      </w:r>
    </w:p>
    <w:p>
      <w:pPr>
        <w:pStyle w:val="Heading2"/>
        <w:spacing w:after="80" w:before="280"/>
      </w:pPr>
      <w:r>
        <w:rPr>
          <w:rFonts w:ascii="Arial" w:cs="Arial" w:eastAsia="Arial" w:hAnsi="Arial"/>
          <w:b/>
          <w:bCs/>
          <w:color w:val="1E3A5F"/>
          <w:sz w:val="24"/>
          <w:szCs w:val="24"/>
        </w:rPr>
        <w:t xml:space="preserve">5.1 Overview</w:t>
      </w:r>
    </w:p>
    <w:p>
      <w:pPr>
        <w:spacing w:after="80" w:before="60"/>
      </w:pPr>
      <w:r>
        <w:rPr>
          <w:rFonts w:ascii="Arial" w:cs="Arial" w:eastAsia="Arial" w:hAnsi="Arial"/>
          <w:color w:val="111827"/>
          <w:sz w:val="22"/>
          <w:szCs w:val="22"/>
        </w:rPr>
        <w:t xml:space="preserve">Singapore's Income Tax Act allows a 250% tax deduction on qualifying cash donations made to approved Institutions of a Public Character (IPCs). This deduction is a central marketing and value proposition of Altru's platform. The tax deduction framework is administered by the Inland Revenue Authority of Singapore (IRAS).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KEY RISK</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Altru's unique mechanic — where the guest makes the donation but the couple is named as the donor (to allow the couple to claim the tax deduction) — is novel and may not be straightforwardly permitted under IRAS's current framework. IRAS confirmation is required before marketing the 250% deduction to couples. A clarification letter to IRAS has been drafted but not yet sent.</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5.2 Qualifying Conditions for 250%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Charity must be an approved IPC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donations to approved IPCs qualify. IPC status must be current at the time of the donation.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Deduction not available; potential misrepresentation to donors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Donation must be cash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Only cash (including PayNow/electronic transfer) donations qualify. Gifts-in-kind do not.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Deduction not available for non-cash donations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material benefit to donor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donor must not receive a material benefit in return for the donation. If the couple receives a portion of the gift (personal portion), this may reduce or eliminate the deductible amount. Advice required.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Partial or full loss of deduction; potential IRAS clawback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Donor's tax reference number required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The IPC must record the donor's NRIC/FIN/UEN to issue a tax-deductible receipt. Without the tax reference number, no deduction is granted.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Deduction not claimable; value proposition lost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Deduction extended to 31 December 2026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250% rate has been extended to 31 December 2026. Beyond this date, the standard rate (previously 2.5×) must be confirmed.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Marketing claims may become inaccurate after 2026</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Named donor mechanic</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Altru proposes that donations made by guests are credited to the couple as named donors. This mechanic requires IRAS confirmation — it is not established precedent.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RISK — deduction may be unavailable if IRAS does not confirm the mechanic</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5.3 NRIC Collection for Tax Receipts</w:t>
      </w:r>
    </w:p>
    <w:p>
      <w:pPr>
        <w:spacing w:after="80" w:before="60"/>
      </w:pPr>
      <w:r>
        <w:rPr>
          <w:rFonts w:ascii="Arial" w:cs="Arial" w:eastAsia="Arial" w:hAnsi="Arial"/>
          <w:color w:val="111827"/>
          <w:sz w:val="22"/>
          <w:szCs w:val="22"/>
        </w:rPr>
        <w:t xml:space="preserve">To enable the couple to claim the 250% tax deduction, Altru must:</w:t>
      </w:r>
    </w:p>
    <w:p>
      <w:pPr>
        <w:pStyle w:val="ListParagraph"/>
        <w:numPr>
          <w:ilvl w:val="0"/>
          <w:numId w:val="3"/>
        </w:numPr>
        <w:spacing w:after="40" w:before="40"/>
      </w:pPr>
      <w:r>
        <w:rPr>
          <w:rFonts w:ascii="Arial" w:cs="Arial" w:eastAsia="Arial" w:hAnsi="Arial"/>
          <w:color w:val="111827"/>
          <w:sz w:val="22"/>
          <w:szCs w:val="22"/>
        </w:rPr>
        <w:t xml:space="preserve">Collect the couple's NRIC/FIN numbers (encrypted at rest using AES-256)</w:t>
      </w:r>
    </w:p>
    <w:p>
      <w:pPr>
        <w:pStyle w:val="ListParagraph"/>
        <w:numPr>
          <w:ilvl w:val="0"/>
          <w:numId w:val="3"/>
        </w:numPr>
        <w:spacing w:after="40" w:before="40"/>
      </w:pPr>
      <w:r>
        <w:rPr>
          <w:rFonts w:ascii="Arial" w:cs="Arial" w:eastAsia="Arial" w:hAnsi="Arial"/>
          <w:color w:val="111827"/>
          <w:sz w:val="22"/>
          <w:szCs w:val="22"/>
        </w:rPr>
        <w:t xml:space="preserve">Obtain explicit PDPA consent for NRIC collection and use for tax receipt purposes</w:t>
      </w:r>
    </w:p>
    <w:p>
      <w:pPr>
        <w:pStyle w:val="ListParagraph"/>
        <w:numPr>
          <w:ilvl w:val="0"/>
          <w:numId w:val="3"/>
        </w:numPr>
        <w:spacing w:after="40" w:before="40"/>
      </w:pPr>
      <w:r>
        <w:rPr>
          <w:rFonts w:ascii="Arial" w:cs="Arial" w:eastAsia="Arial" w:hAnsi="Arial"/>
          <w:color w:val="111827"/>
          <w:sz w:val="22"/>
          <w:szCs w:val="22"/>
        </w:rPr>
        <w:t xml:space="preserve">Transmit the NRIC to the IPC charity's finance team for inclusion in the official donation receipt</w:t>
      </w:r>
    </w:p>
    <w:p>
      <w:pPr>
        <w:pStyle w:val="ListParagraph"/>
        <w:numPr>
          <w:ilvl w:val="0"/>
          <w:numId w:val="3"/>
        </w:numPr>
        <w:spacing w:after="40" w:before="40"/>
      </w:pPr>
      <w:r>
        <w:rPr>
          <w:rFonts w:ascii="Arial" w:cs="Arial" w:eastAsia="Arial" w:hAnsi="Arial"/>
          <w:color w:val="111827"/>
          <w:sz w:val="22"/>
          <w:szCs w:val="22"/>
        </w:rPr>
        <w:t xml:space="preserve">Ensure the IPC issues an official donation receipt in the couple's name with the correct NRIC recorded</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5.4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IRAS clarification letter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drafted letter in /docs/iras-clarification-letter.md must be sent to IRAS to confirm (a) whether the couple-as-named-donor mechanic is permitted and (b) whether the personal portion of the gift affects the deductible amount.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 — Cannot market 250% deduction without IRAS confirmation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Review no-benefit condition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Obtain legal opinion on whether the couple's receipt of the personal portion of the gift constitutes a "material benefit" that would reduce or eliminate the deduction on the charity portion.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 May materially affect the product structure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NRIC-to-charity transmission process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a secure process to transmit the couple's NRIC to the IPC charity's finance team to enable official tax receipt issuance.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Required for tax deductions to work end-to-end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Post-2026 deduction rate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Monitor IRAS communications regarding the 250% rate beyond December 2026 and update marketing materials accordingly.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LOW — Ongoing monitoring</w:t>
            </w:r>
          </w:p>
        </w:tc>
      </w:tr>
    </w:tbl>
    <w:p>
      <w:r>
        <w:br w:type="page"/>
      </w:r>
    </w:p>
    <w:p>
      <w:pPr>
        <w:pStyle w:val="Heading1"/>
        <w:spacing w:after="120" w:before="360"/>
      </w:pPr>
      <w:r>
        <w:rPr>
          <w:rFonts w:ascii="Arial" w:cs="Arial" w:eastAsia="Arial" w:hAnsi="Arial"/>
          <w:b/>
          <w:bCs/>
          <w:color w:val="C01B1B"/>
          <w:sz w:val="28"/>
          <w:szCs w:val="28"/>
        </w:rPr>
        <w:t xml:space="preserve">6. Personal Data Protection Act 2012 (Amended 2021)</w:t>
      </w:r>
    </w:p>
    <w:p>
      <w:pPr>
        <w:pStyle w:val="Heading2"/>
        <w:spacing w:after="80" w:before="280"/>
      </w:pPr>
      <w:r>
        <w:rPr>
          <w:rFonts w:ascii="Arial" w:cs="Arial" w:eastAsia="Arial" w:hAnsi="Arial"/>
          <w:b/>
          <w:bCs/>
          <w:color w:val="1E3A5F"/>
          <w:sz w:val="24"/>
          <w:szCs w:val="24"/>
        </w:rPr>
        <w:t xml:space="preserve">6.1 Overview</w:t>
      </w:r>
    </w:p>
    <w:p>
      <w:pPr>
        <w:spacing w:after="80" w:before="60"/>
      </w:pPr>
      <w:r>
        <w:rPr>
          <w:rFonts w:ascii="Arial" w:cs="Arial" w:eastAsia="Arial" w:hAnsi="Arial"/>
          <w:color w:val="111827"/>
          <w:sz w:val="22"/>
          <w:szCs w:val="22"/>
        </w:rPr>
        <w:t xml:space="preserve">The Personal Data Protection Act 2012 (PDPA), as substantially amended by the Personal Data Protection (Amendment) Act 2020 (effective 1 February 2021), is Singapore's primary personal data protection legislation. It is administered by the Personal Data Protection Commission (PDPC).</w:t>
      </w:r>
    </w:p>
    <w:p>
      <w:pPr>
        <w:spacing w:after="80" w:before="0"/>
      </w:pPr>
      <w:r>
        <w:t xml:space="preserve"/>
      </w:r>
    </w:p>
    <w:p>
      <w:pPr>
        <w:spacing w:after="80" w:before="60"/>
      </w:pPr>
      <w:r>
        <w:rPr>
          <w:rFonts w:ascii="Arial" w:cs="Arial" w:eastAsia="Arial" w:hAnsi="Arial"/>
          <w:color w:val="111827"/>
          <w:sz w:val="22"/>
          <w:szCs w:val="22"/>
        </w:rPr>
        <w:t xml:space="preserve">Altru collects and processes significant categories of personal data including: names, email addresses, mobile numbers, NRIC numbers (couples), payment references, and IP addresses. As a data controller, Altru has comprehensive obligations under the PDPA.</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6.2 Key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Consent for data collection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Altru must obtain valid consent from data subjects before collecting, using, or disclosing personal data. For couples: consent for name, email, mobile, and NRIC. For donors/guests: consent for name, mobile, and email. Consent must be informed, voluntary, and 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Financial penalties up to S$1 million or 10% of annual Singapore turnover (whichever is higher)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Purpose limitation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Personal data may only be collected for purposes that a reasonable person would consider appropriate in the circumstances. Altru must clearly specify the purpose of data collection at the point of collection.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PDPC enforcement action; financial penalties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NRIC number collection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NRIC numbers may only be collected if (a) required by law, or (b) necessary to establish or verify identity to a high degree of fidelity. Altru's collection of NRIC for IRAS tax receipt generation likely satisfies condition (b), but explicit consent and clear purpose disclosure are required.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Regulatory breach; financial penalties; reputational damage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NRIC as authentication (prohibited from 2027)</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From 1 January 2027, NRIC numbers may not be used for authentication purposes. Altru must ensure NRIC data is used exclusively for tax receipt generation, not for login or identity verification.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Non-compliance from 2027 — plan ahead now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Protection Officer (DPO)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Every organisation collecting personal data must appoint a DPO and make the DPO's contact information publicly available. Altru has appointed a group-level DPO and set up dpo@altru.asia. The DPO's name must be publicly disclosed.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Breach of statutory obligation; PDPC enforcement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 breach notification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If a data breach is likely to cause significant harm to individuals OR affects 500 or more individuals, Altru must notify PDPC within 3 calendar days of determining the breach is notifiable, and notify affected individuals as soon as reasonably practicable.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Failure to notify: financial penalties; criminal liability for directors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Privacy Policy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Altru must publish a Privacy Policy describing its data collection, use, disclosure, and retention practices. The policy must be easily accessible from the website.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Breach of notification obligations; regulatory exposure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 retention and disposal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Personal data must not be retained longer than necessary for the purpose for which it was collected. Retention schedules must be documented. The 5-year retention requirement under the Charities Act creates a minimum retention period for donation-related data.</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Regulatory breach; civil liability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transfer overseas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personal data is transferred outside Singapore (e.g., to Resend, Twilio, HitPay), Altru must ensure the recipient provides comparable data protection, typically through contractual clauses.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Breach of transfer obligations; PDPC enforcement</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6.3 Current Compliance Status</w:t>
      </w:r>
    </w:p>
    <w:p>
      <w:pPr>
        <w:spacing w:after="80" w:before="60"/>
      </w:pPr>
      <w:r>
        <w:rPr>
          <w:rFonts w:ascii="Arial" w:cs="Arial" w:eastAsia="Arial" w:hAnsi="Arial"/>
          <w:color w:val="111827"/>
          <w:sz w:val="22"/>
          <w:szCs w:val="22"/>
        </w:rPr>
        <w:t xml:space="preserve">Partial compliance already in place:</w:t>
      </w:r>
    </w:p>
    <w:p>
      <w:pPr>
        <w:pStyle w:val="ListParagraph"/>
        <w:numPr>
          <w:ilvl w:val="0"/>
          <w:numId w:val="2"/>
        </w:numPr>
        <w:spacing w:after="40" w:before="40"/>
      </w:pPr>
      <w:r>
        <w:rPr>
          <w:rFonts w:ascii="Arial" w:cs="Arial" w:eastAsia="Arial" w:hAnsi="Arial"/>
          <w:color w:val="111827"/>
          <w:sz w:val="22"/>
          <w:szCs w:val="22"/>
        </w:rPr>
        <w:t xml:space="preserve">DPO appointed at group level — dpo@altru.asia operational via Cloudflare Email Routing</w:t>
      </w:r>
    </w:p>
    <w:p>
      <w:pPr>
        <w:pStyle w:val="ListParagraph"/>
        <w:numPr>
          <w:ilvl w:val="0"/>
          <w:numId w:val="2"/>
        </w:numPr>
        <w:spacing w:after="40" w:before="40"/>
      </w:pPr>
      <w:r>
        <w:rPr>
          <w:rFonts w:ascii="Arial" w:cs="Arial" w:eastAsia="Arial" w:hAnsi="Arial"/>
          <w:color w:val="111827"/>
          <w:sz w:val="22"/>
          <w:szCs w:val="22"/>
        </w:rPr>
        <w:t xml:space="preserve">NRIC collected only with explicit consent and stored AES-256 encrypted (nric_encrypted column)</w:t>
      </w:r>
    </w:p>
    <w:p>
      <w:pPr>
        <w:pStyle w:val="ListParagraph"/>
        <w:numPr>
          <w:ilvl w:val="0"/>
          <w:numId w:val="2"/>
        </w:numPr>
        <w:spacing w:after="40" w:before="40"/>
      </w:pPr>
      <w:r>
        <w:rPr>
          <w:rFonts w:ascii="Arial" w:cs="Arial" w:eastAsia="Arial" w:hAnsi="Arial"/>
          <w:color w:val="111827"/>
          <w:sz w:val="22"/>
          <w:szCs w:val="22"/>
        </w:rPr>
        <w:t xml:space="preserve">PDPA programme documented in /docs/pdpa-programme.md including data inventory, retention schedule, and breach runbook</w:t>
      </w:r>
    </w:p>
    <w:p>
      <w:pPr>
        <w:spacing w:after="80" w:before="0"/>
      </w:pPr>
      <w:r>
        <w:t xml:space="preserve"/>
      </w:r>
    </w:p>
    <w:p>
      <w:pPr>
        <w:spacing w:after="80" w:before="60"/>
      </w:pPr>
      <w:r>
        <w:rPr>
          <w:rFonts w:ascii="Arial" w:cs="Arial" w:eastAsia="Arial" w:hAnsi="Arial"/>
          <w:color w:val="111827"/>
          <w:sz w:val="22"/>
          <w:szCs w:val="22"/>
        </w:rPr>
        <w:t xml:space="preserve">Still required:</w:t>
      </w:r>
    </w:p>
    <w:p>
      <w:pPr>
        <w:pStyle w:val="ListParagraph"/>
        <w:numPr>
          <w:ilvl w:val="0"/>
          <w:numId w:val="2"/>
        </w:numPr>
        <w:spacing w:after="40" w:before="40"/>
      </w:pPr>
      <w:r>
        <w:rPr>
          <w:rFonts w:ascii="Arial" w:cs="Arial" w:eastAsia="Arial" w:hAnsi="Arial"/>
          <w:color w:val="111827"/>
          <w:sz w:val="22"/>
          <w:szCs w:val="22"/>
        </w:rPr>
        <w:t xml:space="preserve">Public disclosure of DPO's name on website</w:t>
      </w:r>
    </w:p>
    <w:p>
      <w:pPr>
        <w:pStyle w:val="ListParagraph"/>
        <w:numPr>
          <w:ilvl w:val="0"/>
          <w:numId w:val="2"/>
        </w:numPr>
        <w:spacing w:after="40" w:before="40"/>
      </w:pPr>
      <w:r>
        <w:rPr>
          <w:rFonts w:ascii="Arial" w:cs="Arial" w:eastAsia="Arial" w:hAnsi="Arial"/>
          <w:color w:val="111827"/>
          <w:sz w:val="22"/>
          <w:szCs w:val="22"/>
        </w:rPr>
        <w:t xml:space="preserve">Privacy Policy page published and linked from all pages</w:t>
      </w:r>
    </w:p>
    <w:p>
      <w:pPr>
        <w:pStyle w:val="ListParagraph"/>
        <w:numPr>
          <w:ilvl w:val="0"/>
          <w:numId w:val="2"/>
        </w:numPr>
        <w:spacing w:after="40" w:before="40"/>
      </w:pPr>
      <w:r>
        <w:rPr>
          <w:rFonts w:ascii="Arial" w:cs="Arial" w:eastAsia="Arial" w:hAnsi="Arial"/>
          <w:color w:val="111827"/>
          <w:sz w:val="22"/>
          <w:szCs w:val="22"/>
        </w:rPr>
        <w:t xml:space="preserve">Data Processing Agreements (DPAs) with Resend, Twilio, HitPay, and Cloudflare</w:t>
      </w:r>
    </w:p>
    <w:p>
      <w:pPr>
        <w:pStyle w:val="ListParagraph"/>
        <w:numPr>
          <w:ilvl w:val="0"/>
          <w:numId w:val="2"/>
        </w:numPr>
        <w:spacing w:after="40" w:before="40"/>
      </w:pPr>
      <w:r>
        <w:rPr>
          <w:rFonts w:ascii="Arial" w:cs="Arial" w:eastAsia="Arial" w:hAnsi="Arial"/>
          <w:color w:val="111827"/>
          <w:sz w:val="22"/>
          <w:szCs w:val="22"/>
        </w:rPr>
        <w:t xml:space="preserve">Formal consent mechanism at each data collection point in the UI</w:t>
      </w:r>
    </w:p>
    <w:p>
      <w:r>
        <w:br w:type="page"/>
      </w:r>
    </w:p>
    <w:p>
      <w:pPr>
        <w:pStyle w:val="Heading1"/>
        <w:spacing w:after="120" w:before="360"/>
      </w:pPr>
      <w:r>
        <w:rPr>
          <w:rFonts w:ascii="Arial" w:cs="Arial" w:eastAsia="Arial" w:hAnsi="Arial"/>
          <w:b/>
          <w:bCs/>
          <w:color w:val="C01B1B"/>
          <w:sz w:val="28"/>
          <w:szCs w:val="28"/>
        </w:rPr>
        <w:t xml:space="preserve">7. Anti-Money Laundering / Counter-Terrorism Financing (AML/CFT)</w:t>
      </w:r>
    </w:p>
    <w:p>
      <w:pPr>
        <w:pStyle w:val="Heading2"/>
        <w:spacing w:after="80" w:before="280"/>
      </w:pPr>
      <w:r>
        <w:rPr>
          <w:rFonts w:ascii="Arial" w:cs="Arial" w:eastAsia="Arial" w:hAnsi="Arial"/>
          <w:b/>
          <w:bCs/>
          <w:color w:val="1E3A5F"/>
          <w:sz w:val="24"/>
          <w:szCs w:val="24"/>
        </w:rPr>
        <w:t xml:space="preserve">7.1 Overview</w:t>
      </w:r>
    </w:p>
    <w:p>
      <w:pPr>
        <w:spacing w:after="80" w:before="60"/>
      </w:pPr>
      <w:r>
        <w:rPr>
          <w:rFonts w:ascii="Arial" w:cs="Arial" w:eastAsia="Arial" w:hAnsi="Arial"/>
          <w:color w:val="111827"/>
          <w:sz w:val="22"/>
          <w:szCs w:val="22"/>
        </w:rPr>
        <w:t xml:space="preserve">MAS Notice PSN01 (Prevention of Money Laundering and Countering the Financing of Terrorism — Specified Payment Services) sets out mandatory AML/CFT requirements for payment service providers in Singapore. An updated version (MAS Notice PSN01, dated 2 April 2024, amended 30 June 2025) is currently in effect.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APPLICABILITY</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MAS Notice PSN01 applies to licensed Standard Payment Institutions (SPIs) and Major Payment Institutions (MPIs). If Altru is required to hold a PSA licence, PSN01 becomes fully applicable. Even if Altru is exempt, MAS expects any entity handling financial flows to implement proportionate AML/CFT controls as a matter of good practice.</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7.2 Key AML/CFT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Due Diligence (CDD)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the identity of customers (couples) before establishing a business relationship. For individuals: collect and verify full name, NRIC/passport number, residential address, and date of birth. For lower-risk customers, simplified CDD may apply.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Criminal liability for facilitating money laundering; MAS enforcement action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Enhanced Due Diligence (EDD)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Apply EDD to higher-risk customers, including Politically Exposed Persons (PEPs) and customers from high-risk jurisdictions. EDD requires senior management approval and enhanced monitoring.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Criminal liability; significant financial penalties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Sanctions screening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Screen all customers and beneficial owners against MAS-published sanctions lists and UN Security Council consolidated lists before establishing relationships and on an ongoing basis. Gifts above S$500 already trigger a sanctions check (LARGE_GIFT_THRESHOLD in the codebase).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Criminal liability under the Terrorism (Suppression of Financing) Act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Suspicious Transaction Reporting (STR)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File a Suspicious Transaction Report with STRO (Suspicious Transaction Reporting Office) if Altru knows, suspects, or has reasonable grounds to suspect that any transaction involves proceeds of criminal conduct or is connected to terrorism financing.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Criminal liability for failing to report under the Corruption, Drug Trafficking and Other Serious Crimes (Confiscation of Benefits) 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keeping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Retain CDD records, transaction records, and STR records for at least 5 years from the date of the transaction or the end of the business relationship (whichever is later).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Regulatory breach; financial penalties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Internal AML/CFT programme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Implement documented AML/CFT policies and procedures, designate a compliance officer responsible for AML/CFT, provide AML/CFT training to all relevant staff, and conduct periodic audits of the AML/CFT programme.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MAS supervisory action; licence revocation (if licensed)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 gift monitoring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S$500 threshold (LARGE_GIFT_THRESHOLD_CENTS = 50000) already in Altru's codebase triggers a sanctions check. Consider whether additional monitoring (e.g., cash transaction reports) is required for gifts above certain thresholds.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 guidance on thresholds should be confirmed with legal counsel</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7.3 Practical AML/CFT Measures Already in Place</w:t>
      </w:r>
    </w:p>
    <w:p>
      <w:pPr>
        <w:pStyle w:val="ListParagraph"/>
        <w:numPr>
          <w:ilvl w:val="0"/>
          <w:numId w:val="2"/>
        </w:numPr>
        <w:spacing w:after="40" w:before="40"/>
      </w:pPr>
      <w:r>
        <w:rPr>
          <w:rFonts w:ascii="Arial" w:cs="Arial" w:eastAsia="Arial" w:hAnsi="Arial"/>
          <w:color w:val="111827"/>
          <w:sz w:val="22"/>
          <w:szCs w:val="22"/>
        </w:rPr>
        <w:t xml:space="preserve">Sanctions check service implemented in src/services/sanctions.ts</w:t>
      </w:r>
    </w:p>
    <w:p>
      <w:pPr>
        <w:pStyle w:val="ListParagraph"/>
        <w:numPr>
          <w:ilvl w:val="0"/>
          <w:numId w:val="2"/>
        </w:numPr>
        <w:spacing w:after="40" w:before="40"/>
      </w:pPr>
      <w:r>
        <w:rPr>
          <w:rFonts w:ascii="Arial" w:cs="Arial" w:eastAsia="Arial" w:hAnsi="Arial"/>
          <w:color w:val="111827"/>
          <w:sz w:val="22"/>
          <w:szCs w:val="22"/>
        </w:rPr>
        <w:t xml:space="preserve">Large gift threshold (S$500) triggers automatic check</w:t>
      </w:r>
    </w:p>
    <w:p>
      <w:pPr>
        <w:pStyle w:val="ListParagraph"/>
        <w:numPr>
          <w:ilvl w:val="0"/>
          <w:numId w:val="2"/>
        </w:numPr>
        <w:spacing w:after="40" w:before="40"/>
      </w:pPr>
      <w:r>
        <w:rPr>
          <w:rFonts w:ascii="Arial" w:cs="Arial" w:eastAsia="Arial" w:hAnsi="Arial"/>
          <w:color w:val="111827"/>
          <w:sz w:val="22"/>
          <w:szCs w:val="22"/>
        </w:rPr>
        <w:t xml:space="preserve">Audit log captures all transactions with actor identification</w:t>
      </w:r>
    </w:p>
    <w:p>
      <w:pPr>
        <w:pStyle w:val="ListParagraph"/>
        <w:numPr>
          <w:ilvl w:val="0"/>
          <w:numId w:val="2"/>
        </w:numPr>
        <w:spacing w:after="40" w:before="40"/>
      </w:pPr>
      <w:r>
        <w:rPr>
          <w:rFonts w:ascii="Arial" w:cs="Arial" w:eastAsia="Arial" w:hAnsi="Arial"/>
          <w:color w:val="111827"/>
          <w:sz w:val="22"/>
          <w:szCs w:val="22"/>
        </w:rPr>
        <w:t xml:space="preserve">All money stored in integer cents (no rounding errors)</w:t>
      </w:r>
    </w:p>
    <w:p>
      <w:r>
        <w:br w:type="page"/>
      </w:r>
    </w:p>
    <w:p>
      <w:pPr>
        <w:pStyle w:val="Heading1"/>
        <w:spacing w:after="120" w:before="360"/>
      </w:pPr>
      <w:r>
        <w:rPr>
          <w:rFonts w:ascii="Arial" w:cs="Arial" w:eastAsia="Arial" w:hAnsi="Arial"/>
          <w:b/>
          <w:bCs/>
          <w:color w:val="C01B1B"/>
          <w:sz w:val="28"/>
          <w:szCs w:val="28"/>
        </w:rPr>
        <w:t xml:space="preserve">8. MAS Technology Risk Management (TRM) Guidelines</w:t>
      </w:r>
    </w:p>
    <w:p>
      <w:pPr>
        <w:pStyle w:val="Heading2"/>
        <w:spacing w:after="80" w:before="280"/>
      </w:pPr>
      <w:r>
        <w:rPr>
          <w:rFonts w:ascii="Arial" w:cs="Arial" w:eastAsia="Arial" w:hAnsi="Arial"/>
          <w:b/>
          <w:bCs/>
          <w:color w:val="1E3A5F"/>
          <w:sz w:val="24"/>
          <w:szCs w:val="24"/>
        </w:rPr>
        <w:t xml:space="preserve">8.1 Overview</w:t>
      </w:r>
    </w:p>
    <w:p>
      <w:pPr>
        <w:spacing w:after="80" w:before="60"/>
      </w:pPr>
      <w:r>
        <w:rPr>
          <w:rFonts w:ascii="Arial" w:cs="Arial" w:eastAsia="Arial" w:hAnsi="Arial"/>
          <w:color w:val="111827"/>
          <w:sz w:val="22"/>
          <w:szCs w:val="22"/>
        </w:rPr>
        <w:t xml:space="preserve">The MAS Technology Risk Management (TRM) Guidelines (January 2021) set out risk management principles and best practices for technology and cybersecurity for financial institutions regulated by MAS. Although the Guidelines are not legally binding (unlike MAS Notices), regulated entities are expected to observe them and MAS supervisory assessments include TRM compliance.</w:t>
      </w:r>
    </w:p>
    <w:p>
      <w:pPr>
        <w:spacing w:after="80" w:before="0"/>
      </w:pPr>
      <w:r>
        <w:t xml:space="preserve"/>
      </w:r>
    </w:p>
    <w:p>
      <w:pPr>
        <w:spacing w:after="80" w:before="60"/>
      </w:pPr>
      <w:r>
        <w:rPr>
          <w:rFonts w:ascii="Arial" w:cs="Arial" w:eastAsia="Arial" w:hAnsi="Arial"/>
          <w:color w:val="111827"/>
          <w:sz w:val="22"/>
          <w:szCs w:val="22"/>
        </w:rPr>
        <w:t xml:space="preserve">MAS also issues the Cyber Hygiene Notice (MAS Notice on Technology Risk Management) which sets binding cybersecurity requirements for MAS-regulated entities.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8.2 Applicable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Governance and accountability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Senior management must take responsibility for technology risk management. A designated technology risk owner must be identified.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 supervisory findings; potential enforcement if licensed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Secure system development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Apply security throughout the software development lifecycle. For Altru: no innerHTML= patterns (already a project quality bar), input validation, output encoding, parameterised queries for D1, and no PII in logs.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 breach; MAS enforcement if regulated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 control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principle of least privilege for system access. Admin routes must be protected (Cloudflare Access already in place for /admin/*). Database access must be restricted.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breach; unauthorised access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Vulnerability management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Conduct regular security testing (penetration testing recommended before launch). Apply security patches promptly.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System compromise; data breach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Incident response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and test an incident response plan covering detection, containment, eradication, recovery, and post-incident review.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Prolonged outage; data breach escalation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Business continuity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Implement business continuity measures for critical payment processing functions. Cloudflare's edge infrastructure provides inherent resilience.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Service unavailability; reputational damage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Third-party risk management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Conduct due diligence on all technology vendors (HitPay, Resend, Twilio, Cloudflare) and maintain contracts with appropriate data protection and security clauses.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Third-party breach affecting Altru's customers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Cryptography and key management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 industry-standard encryption (AES-256-GCM for NRIC already in place). Implement a key rotation policy for NRIC_ENCRYPTION_KEY and SESSION_HMAC_SECRET.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 exposure if keys are compromised</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8.3 Cloudflare-Specific Security Controls</w:t>
      </w:r>
    </w:p>
    <w:p>
      <w:pPr>
        <w:spacing w:after="80" w:before="60"/>
      </w:pPr>
      <w:r>
        <w:rPr>
          <w:rFonts w:ascii="Arial" w:cs="Arial" w:eastAsia="Arial" w:hAnsi="Arial"/>
          <w:color w:val="111827"/>
          <w:sz w:val="22"/>
          <w:szCs w:val="22"/>
        </w:rPr>
        <w:t xml:space="preserve">Altru's Cloudflare Workers architecture provides several security controls by default:</w:t>
      </w:r>
    </w:p>
    <w:p>
      <w:pPr>
        <w:pStyle w:val="ListParagraph"/>
        <w:numPr>
          <w:ilvl w:val="0"/>
          <w:numId w:val="2"/>
        </w:numPr>
        <w:spacing w:after="40" w:before="40"/>
      </w:pPr>
      <w:r>
        <w:rPr>
          <w:rFonts w:ascii="Arial" w:cs="Arial" w:eastAsia="Arial" w:hAnsi="Arial"/>
          <w:color w:val="111827"/>
          <w:sz w:val="22"/>
          <w:szCs w:val="22"/>
        </w:rPr>
        <w:t xml:space="preserve">Edge-deployed — no traditional server to patch or secure</w:t>
      </w:r>
    </w:p>
    <w:p>
      <w:pPr>
        <w:pStyle w:val="ListParagraph"/>
        <w:numPr>
          <w:ilvl w:val="0"/>
          <w:numId w:val="2"/>
        </w:numPr>
        <w:spacing w:after="40" w:before="40"/>
      </w:pPr>
      <w:r>
        <w:rPr>
          <w:rFonts w:ascii="Arial" w:cs="Arial" w:eastAsia="Arial" w:hAnsi="Arial"/>
          <w:color w:val="111827"/>
          <w:sz w:val="22"/>
          <w:szCs w:val="22"/>
        </w:rPr>
        <w:t xml:space="preserve">Cloudflare DDoS protection and WAF available</w:t>
      </w:r>
    </w:p>
    <w:p>
      <w:pPr>
        <w:pStyle w:val="ListParagraph"/>
        <w:numPr>
          <w:ilvl w:val="0"/>
          <w:numId w:val="2"/>
        </w:numPr>
        <w:spacing w:after="40" w:before="40"/>
      </w:pPr>
      <w:r>
        <w:rPr>
          <w:rFonts w:ascii="Arial" w:cs="Arial" w:eastAsia="Arial" w:hAnsi="Arial"/>
          <w:color w:val="111827"/>
          <w:sz w:val="22"/>
          <w:szCs w:val="22"/>
        </w:rPr>
        <w:t xml:space="preserve">HTTPS enforced by default (HSTS recommended)</w:t>
      </w:r>
    </w:p>
    <w:p>
      <w:pPr>
        <w:pStyle w:val="ListParagraph"/>
        <w:numPr>
          <w:ilvl w:val="0"/>
          <w:numId w:val="2"/>
        </w:numPr>
        <w:spacing w:after="40" w:before="40"/>
      </w:pPr>
      <w:r>
        <w:rPr>
          <w:rFonts w:ascii="Arial" w:cs="Arial" w:eastAsia="Arial" w:hAnsi="Arial"/>
          <w:color w:val="111827"/>
          <w:sz w:val="22"/>
          <w:szCs w:val="22"/>
        </w:rPr>
        <w:t xml:space="preserve">Content Security Policy already implemented on all HTML pages</w:t>
      </w:r>
    </w:p>
    <w:p>
      <w:pPr>
        <w:pStyle w:val="ListParagraph"/>
        <w:numPr>
          <w:ilvl w:val="0"/>
          <w:numId w:val="2"/>
        </w:numPr>
        <w:spacing w:after="40" w:before="40"/>
      </w:pPr>
      <w:r>
        <w:rPr>
          <w:rFonts w:ascii="Arial" w:cs="Arial" w:eastAsia="Arial" w:hAnsi="Arial"/>
          <w:color w:val="111827"/>
          <w:sz w:val="22"/>
          <w:szCs w:val="22"/>
        </w:rPr>
        <w:t xml:space="preserve">Cloudflare Access protects /admin/* with SSO</w:t>
      </w:r>
    </w:p>
    <w:p>
      <w:pPr>
        <w:spacing w:after="80" w:before="0"/>
      </w:pPr>
      <w:r>
        <w:t xml:space="preserve"/>
      </w:r>
    </w:p>
    <w:p>
      <w:pPr>
        <w:spacing w:after="80" w:before="60"/>
      </w:pPr>
      <w:r>
        <w:rPr>
          <w:rFonts w:ascii="Arial" w:cs="Arial" w:eastAsia="Arial" w:hAnsi="Arial"/>
          <w:color w:val="111827"/>
          <w:sz w:val="22"/>
          <w:szCs w:val="22"/>
        </w:rPr>
        <w:t xml:space="preserve">Additional controls required before launch:</w:t>
      </w:r>
    </w:p>
    <w:p>
      <w:pPr>
        <w:pStyle w:val="ListParagraph"/>
        <w:numPr>
          <w:ilvl w:val="0"/>
          <w:numId w:val="2"/>
        </w:numPr>
        <w:spacing w:after="40" w:before="40"/>
      </w:pPr>
      <w:r>
        <w:rPr>
          <w:rFonts w:ascii="Arial" w:cs="Arial" w:eastAsia="Arial" w:hAnsi="Arial"/>
          <w:color w:val="111827"/>
          <w:sz w:val="22"/>
          <w:szCs w:val="22"/>
        </w:rPr>
        <w:t xml:space="preserve">Enable Cloudflare's bot management and rate limiting on /api/* endpoints</w:t>
      </w:r>
    </w:p>
    <w:p>
      <w:pPr>
        <w:pStyle w:val="ListParagraph"/>
        <w:numPr>
          <w:ilvl w:val="0"/>
          <w:numId w:val="2"/>
        </w:numPr>
        <w:spacing w:after="40" w:before="40"/>
      </w:pPr>
      <w:r>
        <w:rPr>
          <w:rFonts w:ascii="Arial" w:cs="Arial" w:eastAsia="Arial" w:hAnsi="Arial"/>
          <w:color w:val="111827"/>
          <w:sz w:val="22"/>
          <w:szCs w:val="22"/>
        </w:rPr>
        <w:t xml:space="preserve">Configure Cloudflare WAF rules for API abuse protection</w:t>
      </w:r>
    </w:p>
    <w:p>
      <w:pPr>
        <w:pStyle w:val="ListParagraph"/>
        <w:numPr>
          <w:ilvl w:val="0"/>
          <w:numId w:val="2"/>
        </w:numPr>
        <w:spacing w:after="40" w:before="40"/>
      </w:pPr>
      <w:r>
        <w:rPr>
          <w:rFonts w:ascii="Arial" w:cs="Arial" w:eastAsia="Arial" w:hAnsi="Arial"/>
          <w:color w:val="111827"/>
          <w:sz w:val="22"/>
          <w:szCs w:val="22"/>
        </w:rPr>
        <w:t xml:space="preserve">Implement rate limiting on OTP and magic-link endpoints</w:t>
      </w:r>
    </w:p>
    <w:p>
      <w:pPr>
        <w:pStyle w:val="ListParagraph"/>
        <w:numPr>
          <w:ilvl w:val="0"/>
          <w:numId w:val="2"/>
        </w:numPr>
        <w:spacing w:after="40" w:before="40"/>
      </w:pPr>
      <w:r>
        <w:rPr>
          <w:rFonts w:ascii="Arial" w:cs="Arial" w:eastAsia="Arial" w:hAnsi="Arial"/>
          <w:color w:val="111827"/>
          <w:sz w:val="22"/>
          <w:szCs w:val="22"/>
        </w:rPr>
        <w:t xml:space="preserve">Set up Sentry for production error tracking (planned for Week 7)</w:t>
      </w:r>
    </w:p>
    <w:p>
      <w:r>
        <w:br w:type="page"/>
      </w:r>
    </w:p>
    <w:p>
      <w:pPr>
        <w:pStyle w:val="Heading1"/>
        <w:spacing w:after="120" w:before="360"/>
      </w:pPr>
      <w:r>
        <w:rPr>
          <w:rFonts w:ascii="Arial" w:cs="Arial" w:eastAsia="Arial" w:hAnsi="Arial"/>
          <w:b/>
          <w:bCs/>
          <w:color w:val="C01B1B"/>
          <w:sz w:val="28"/>
          <w:szCs w:val="28"/>
        </w:rPr>
        <w:t xml:space="preserve">9. Consumer Protection (Fair Trading) Act 2003 (CPFTA)</w:t>
      </w:r>
    </w:p>
    <w:p>
      <w:pPr>
        <w:pStyle w:val="Heading2"/>
        <w:spacing w:after="80" w:before="280"/>
      </w:pPr>
      <w:r>
        <w:rPr>
          <w:rFonts w:ascii="Arial" w:cs="Arial" w:eastAsia="Arial" w:hAnsi="Arial"/>
          <w:b/>
          <w:bCs/>
          <w:color w:val="1E3A5F"/>
          <w:sz w:val="24"/>
          <w:szCs w:val="24"/>
        </w:rPr>
        <w:t xml:space="preserve">9.1 Overview</w:t>
      </w:r>
    </w:p>
    <w:p>
      <w:pPr>
        <w:spacing w:after="80" w:before="60"/>
      </w:pPr>
      <w:r>
        <w:rPr>
          <w:rFonts w:ascii="Arial" w:cs="Arial" w:eastAsia="Arial" w:hAnsi="Arial"/>
          <w:color w:val="111827"/>
          <w:sz w:val="22"/>
          <w:szCs w:val="22"/>
        </w:rPr>
        <w:t xml:space="preserve">The Consumer Protection (Fair Trading) Act 2003 (CPFTA) protects consumers against unfair trade practices in Singapore. It is enforced by the Competition and Consumer Commission of Singapore (CCCS).</w:t>
      </w:r>
    </w:p>
    <w:p>
      <w:pPr>
        <w:spacing w:after="80" w:before="0"/>
      </w:pPr>
      <w:r>
        <w:t xml:space="preserve"/>
      </w:r>
    </w:p>
    <w:p>
      <w:pPr>
        <w:spacing w:after="80" w:before="60"/>
      </w:pPr>
      <w:r>
        <w:rPr>
          <w:rFonts w:ascii="Arial" w:cs="Arial" w:eastAsia="Arial" w:hAnsi="Arial"/>
          <w:color w:val="111827"/>
          <w:sz w:val="22"/>
          <w:szCs w:val="22"/>
        </w:rPr>
        <w:t xml:space="preserve">Altru is both a supplier (to donors and couples) and an intermediary (facilitating transactions between donors, couples, and charities). The CPFTA applies to Altru's dealings with consumers.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9.2 Key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unfair trade practices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Altru must not: make false or misleading claims about the 250% tax deduction or the proportion of funds going to charity; accept payment while unable to deliver the service; or use deceptive pricing.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Consumer redress claims; CCCS enforcement; fines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Transparent fee disclosure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The 5% platform fee (absorbed from charity, not from donor) must be clearly disclosed. Any fees charged to donors must be prominently displayed before payment.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Unfair trade practice; consumer complaints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Accurate charity descriptions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charity descriptions and impact claims on the platform must be accurate and not misleading.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 advertising liability; consumer redress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Refund rights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The 14-day auto-refund mechanism satisfies consumers' reasonable expectation of recourse. The refund process must be straightforward and delivered as promised.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Consumer complaints; CCCS action if refunds are not honoured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Terms &amp; Conditions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Clear, accessible Terms &amp; Conditions (terms.html already exists) must cover: how the platform works, the split mechanism, the 14-day window, refund rights, and Altru's fee structure.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Contractual disputes; consumer redress</w:t>
            </w:r>
          </w:p>
        </w:tc>
      </w:tr>
    </w:tbl>
    <w:p>
      <w:r>
        <w:br w:type="page"/>
      </w:r>
    </w:p>
    <w:p>
      <w:pPr>
        <w:pStyle w:val="Heading1"/>
        <w:spacing w:after="120" w:before="360"/>
      </w:pPr>
      <w:r>
        <w:rPr>
          <w:rFonts w:ascii="Arial" w:cs="Arial" w:eastAsia="Arial" w:hAnsi="Arial"/>
          <w:b/>
          <w:bCs/>
          <w:color w:val="C01B1B"/>
          <w:sz w:val="28"/>
          <w:szCs w:val="28"/>
        </w:rPr>
        <w:t xml:space="preserve">10. Spam Control Act 2007 and Electronic Marketing</w:t>
      </w:r>
    </w:p>
    <w:p>
      <w:pPr>
        <w:pStyle w:val="Heading2"/>
        <w:spacing w:after="80" w:before="280"/>
      </w:pPr>
      <w:r>
        <w:rPr>
          <w:rFonts w:ascii="Arial" w:cs="Arial" w:eastAsia="Arial" w:hAnsi="Arial"/>
          <w:b/>
          <w:bCs/>
          <w:color w:val="1E3A5F"/>
          <w:sz w:val="24"/>
          <w:szCs w:val="24"/>
        </w:rPr>
        <w:t xml:space="preserve">10.1 Overview</w:t>
      </w:r>
    </w:p>
    <w:p>
      <w:pPr>
        <w:spacing w:after="80" w:before="60"/>
      </w:pPr>
      <w:r>
        <w:rPr>
          <w:rFonts w:ascii="Arial" w:cs="Arial" w:eastAsia="Arial" w:hAnsi="Arial"/>
          <w:color w:val="111827"/>
          <w:sz w:val="22"/>
          <w:szCs w:val="22"/>
        </w:rPr>
        <w:t xml:space="preserve">The Spam Control Act 2007 (SCA) regulates unsolicited bulk commercial electronic messages. Together with the PDPA's marketing consent provisions, it governs all of Altru's outbound email and SMS communications.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10.2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Consent before sending marketing messages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PDPA requires consent before using personal data (email, mobile) for marketing purposes. Transactional messages (magic links, gift confirmations, refund notices) are not marketing and do not require separate consent.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Financial penalties under PDPA; S$25/message statutory damages under SCA (capped at S$1 million)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Sender identification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Every commercial electronic message must identify the sender (Altru's name and contact details).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SCA offence; fines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Accurate subject line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subject lines must not be misleading about the content of the message.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 offence; fines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Functional unsubscribe mechanism</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All marketing emails must include a functional unsubscribe link, valid for at least 30 days. Unsubscribe requests must be honoured within 10 days.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SCA offence; statutory damages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Transactional vs marketing distinction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Altru's primary communications (magic links, gift confirmations, refund notifications) are transactional and not subject to the SCA's marketing provisions. Any future marketing campaigns must comply with the SCA and PDPA consent 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Blurring this distinction could expose all communications to SCA requirements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SMS OTP messages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SMS OTP messages are transactional/operational and not marketing. They must comply with PDPA data use obligations but are not subject to SCA marketing rules.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Low risk if properly categorised</w:t>
            </w:r>
          </w:p>
        </w:tc>
      </w:tr>
    </w:tbl>
    <w:p>
      <w:r>
        <w:br w:type="page"/>
      </w:r>
    </w:p>
    <w:p>
      <w:pPr>
        <w:pStyle w:val="Heading1"/>
        <w:spacing w:after="120" w:before="360"/>
      </w:pPr>
      <w:r>
        <w:rPr>
          <w:rFonts w:ascii="Arial" w:cs="Arial" w:eastAsia="Arial" w:hAnsi="Arial"/>
          <w:b/>
          <w:bCs/>
          <w:color w:val="C01B1B"/>
          <w:sz w:val="28"/>
          <w:szCs w:val="28"/>
        </w:rPr>
        <w:t xml:space="preserve">11. Companies Act 1967 / ACRA Compliance</w:t>
      </w:r>
    </w:p>
    <w:p>
      <w:pPr>
        <w:pStyle w:val="Heading2"/>
        <w:spacing w:after="80" w:before="280"/>
      </w:pPr>
      <w:r>
        <w:rPr>
          <w:rFonts w:ascii="Arial" w:cs="Arial" w:eastAsia="Arial" w:hAnsi="Arial"/>
          <w:b/>
          <w:bCs/>
          <w:color w:val="1E3A5F"/>
          <w:sz w:val="24"/>
          <w:szCs w:val="24"/>
        </w:rPr>
        <w:t xml:space="preserve">11.1 Overview</w:t>
      </w:r>
    </w:p>
    <w:p>
      <w:pPr>
        <w:spacing w:after="80" w:before="60"/>
      </w:pPr>
      <w:r>
        <w:rPr>
          <w:rFonts w:ascii="Arial" w:cs="Arial" w:eastAsia="Arial" w:hAnsi="Arial"/>
          <w:color w:val="111827"/>
          <w:sz w:val="22"/>
          <w:szCs w:val="22"/>
        </w:rPr>
        <w:t xml:space="preserve">As a Singapore private company limited by shares, Altru Asia Pte Ltd must comply with the Companies Act 1967 (as amended) and ACRA's ongoing filing requirements.</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11.2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 if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Annual General Meeting (AGM)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Must be held every financial year. First AGM must be within 18 months of incorporation. Subsequent AGMs: within 15 months of the previous AGM.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S$300 (&lt; 3 months late) to S$600 (&gt; 3 months late) late filing penalties; director prosecution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Annual Return (AR)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Must be filed with ACRA within 7 months after the financial year-end. Includes: directors, secretary, shareholders, registered office, financial statements.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Late penalties; ACRA enforcement 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Financial Statements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Annual financial statements must be prepared and presented at the AGM. As a small company (expected), Altru may qualify for simplified financial reporting.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Failure to prepare: Companies Act breach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Company Secretary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 company secretary must be appointed within 6 months of incorporation and maintained at all times. Must be ordinarily resident in Singapore.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S$1,000 fine for failure to appoint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Registered office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Singapore registered office address must be maintained and updated within 14 days of any change.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Companies Act breach; fine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Director duties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Directors must act in good faith in the company's best interests, exercise reasonable care and skill, avoid conflicts of interest, and not make improper use of company information.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Personal liability for directors; disqualification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GST registration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GST registration is required when annual taxable turnover exceeds S$1 million. Altru's 5% platform fee revenue is the taxable amount. Monitor quarterly.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Backdated GST registration and penalties if threshold crossed without registration</w:t>
            </w:r>
          </w:p>
        </w:tc>
      </w:tr>
    </w:tbl>
    <w:p>
      <w:pPr>
        <w:spacing w:after="120" w:before="0"/>
      </w:pPr>
      <w:r>
        <w:t xml:space="preserve"/>
      </w:r>
    </w:p>
    <w:p>
      <w:pPr>
        <w:pStyle w:val="Heading2"/>
        <w:spacing w:after="80" w:before="280"/>
      </w:pPr>
      <w:r>
        <w:rPr>
          <w:rFonts w:ascii="Arial" w:cs="Arial" w:eastAsia="Arial" w:hAnsi="Arial"/>
          <w:b/>
          <w:bCs/>
          <w:color w:val="1E3A5F"/>
          <w:sz w:val="24"/>
          <w:szCs w:val="24"/>
        </w:rPr>
        <w:t xml:space="preserve">11.3 Electronic Transactions Act</w:t>
      </w:r>
    </w:p>
    <w:p>
      <w:pPr>
        <w:spacing w:after="80" w:before="60"/>
      </w:pPr>
      <w:r>
        <w:rPr>
          <w:rFonts w:ascii="Arial" w:cs="Arial" w:eastAsia="Arial" w:hAnsi="Arial"/>
          <w:color w:val="111827"/>
          <w:sz w:val="22"/>
          <w:szCs w:val="22"/>
        </w:rPr>
        <w:t xml:space="preserve">The Electronic Transactions Act (ETA) provides legal recognition for electronic contracts, signatures, and records in Singapore. Altru's platform relies entirely on electronic contracting. Key provisions:</w:t>
      </w:r>
    </w:p>
    <w:p>
      <w:pPr>
        <w:pStyle w:val="ListParagraph"/>
        <w:numPr>
          <w:ilvl w:val="0"/>
          <w:numId w:val="2"/>
        </w:numPr>
        <w:spacing w:after="40" w:before="40"/>
      </w:pPr>
      <w:r>
        <w:rPr>
          <w:rFonts w:ascii="Arial" w:cs="Arial" w:eastAsia="Arial" w:hAnsi="Arial"/>
          <w:color w:val="111827"/>
          <w:sz w:val="22"/>
          <w:szCs w:val="22"/>
        </w:rPr>
        <w:t xml:space="preserve">Electronic contracts formed on Altru's platform (e.g., couple agreeing to Terms &amp; Conditions by clicking "I agree") are legally binding and enforceable.</w:t>
      </w:r>
    </w:p>
    <w:p>
      <w:pPr>
        <w:pStyle w:val="ListParagraph"/>
        <w:numPr>
          <w:ilvl w:val="0"/>
          <w:numId w:val="2"/>
        </w:numPr>
        <w:spacing w:after="40" w:before="40"/>
      </w:pPr>
      <w:r>
        <w:rPr>
          <w:rFonts w:ascii="Arial" w:cs="Arial" w:eastAsia="Arial" w:hAnsi="Arial"/>
          <w:color w:val="111827"/>
          <w:sz w:val="22"/>
          <w:szCs w:val="22"/>
        </w:rPr>
        <w:t xml:space="preserve">Electronic records (audit logs, transaction records) are admissible as evidence.</w:t>
      </w:r>
    </w:p>
    <w:p>
      <w:pPr>
        <w:pStyle w:val="ListParagraph"/>
        <w:numPr>
          <w:ilvl w:val="0"/>
          <w:numId w:val="2"/>
        </w:numPr>
        <w:spacing w:after="40" w:before="40"/>
      </w:pPr>
      <w:r>
        <w:rPr>
          <w:rFonts w:ascii="Arial" w:cs="Arial" w:eastAsia="Arial" w:hAnsi="Arial"/>
          <w:color w:val="111827"/>
          <w:sz w:val="22"/>
          <w:szCs w:val="22"/>
        </w:rPr>
        <w:t xml:space="preserve">Altru does not need wet-ink signatures for its Terms of Service or fund-raising agreements — electronic acceptance is sufficient for most purposes.</w:t>
      </w:r>
    </w:p>
    <w:p>
      <w:pPr>
        <w:spacing w:after="80" w:before="0"/>
      </w:pPr>
      <w:r>
        <w:t xml:space="preserve"/>
      </w:r>
    </w:p>
    <w:p>
      <w:pPr>
        <w:spacing w:after="80" w:before="60"/>
      </w:pPr>
      <w:r>
        <w:rPr>
          <w:rFonts w:ascii="Arial" w:cs="Arial" w:eastAsia="Arial" w:hAnsi="Arial"/>
          <w:color w:val="111827"/>
          <w:sz w:val="22"/>
          <w:szCs w:val="22"/>
        </w:rPr>
        <w:t xml:space="preserve">Note: The fund-raising agreements (PFAs) with IPC charities may require wet-ink or digital signatures using a certified e-signing platform (e.g., DocuSign, SigningCloud). Legal counsel should advise on the appropriate execution method.</w:t>
      </w:r>
    </w:p>
    <w:p>
      <w:r>
        <w:br w:type="page"/>
      </w:r>
    </w:p>
    <w:p>
      <w:pPr>
        <w:pStyle w:val="Heading1"/>
        <w:spacing w:after="120" w:before="360"/>
      </w:pPr>
      <w:r>
        <w:rPr>
          <w:rFonts w:ascii="Arial" w:cs="Arial" w:eastAsia="Arial" w:hAnsi="Arial"/>
          <w:b/>
          <w:bCs/>
          <w:color w:val="C01B1B"/>
          <w:sz w:val="28"/>
          <w:szCs w:val="28"/>
        </w:rPr>
        <w:t xml:space="preserve">12. Priority Action Matrix</w:t>
      </w:r>
    </w:p>
    <w:p>
      <w:pPr>
        <w:spacing w:after="80" w:before="60"/>
      </w:pPr>
      <w:r>
        <w:rPr>
          <w:rFonts w:ascii="Arial" w:cs="Arial" w:eastAsia="Arial" w:hAnsi="Arial"/>
          <w:color w:val="111827"/>
          <w:sz w:val="22"/>
          <w:szCs w:val="22"/>
        </w:rPr>
        <w:t xml:space="preserve">The following actions must be completed before Altru can legally launch its platform. Items are ranked by criticality.</w:t>
      </w:r>
    </w:p>
    <w:p>
      <w:pPr>
        <w:spacing w:after="120" w:before="0"/>
      </w:pPr>
      <w:r>
        <w:t xml:space="preserve"/>
      </w:r>
    </w:p>
    <w:p>
      <w:pPr>
        <w:pStyle w:val="Heading2"/>
        <w:spacing w:after="80" w:before="280"/>
      </w:pPr>
      <w:r>
        <w:rPr>
          <w:rFonts w:ascii="Arial" w:cs="Arial" w:eastAsia="Arial" w:hAnsi="Arial"/>
          <w:b/>
          <w:bCs/>
          <w:color w:val="1E3A5F"/>
          <w:sz w:val="24"/>
          <w:szCs w:val="24"/>
        </w:rPr>
        <w:t xml:space="preserve">12.1 Critical — Must Complete Before Accepting Any Live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 / Team</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 payments-lawyer brief to Singapore payments counsel re PSA posture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week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 IRAS clarification letter re couple-as-named-donor tax receipt mechanic</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week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Execute written fund-raising agreements (PFAs) with all 3 confirmed IPC charities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Before launch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Apply for fundraising permit from Commissioner of Charities (30-day lead time)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30 days before launch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Confirm HitPay payment-splitting capability to potentially remove PSA escrow question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Tech</w:t>
            </w:r>
          </w:p>
        </w:tc>
        <w:tc>
          <w:tcPr>
            <w:tcW w:type="dxa" w:w="16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week</w:t>
            </w:r>
          </w:p>
        </w:tc>
      </w:tr>
    </w:tbl>
    <w:p>
      <w:pPr>
        <w:spacing w:after="160" w:before="0"/>
      </w:pPr>
      <w:r>
        <w:t xml:space="preserve"/>
      </w:r>
    </w:p>
    <w:p>
      <w:pPr>
        <w:pStyle w:val="Heading2"/>
        <w:spacing w:after="80" w:before="280"/>
      </w:pPr>
      <w:r>
        <w:rPr>
          <w:rFonts w:ascii="Arial" w:cs="Arial" w:eastAsia="Arial" w:hAnsi="Arial"/>
          <w:b/>
          <w:bCs/>
          <w:color w:val="1E3A5F"/>
          <w:sz w:val="24"/>
          <w:szCs w:val="24"/>
        </w:rPr>
        <w:t xml:space="preserve">12.2 High Priority — Complete During Build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 / Team</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Publish Privacy Policy linked from all pages; disclose DPO name publicly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 Legal</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mandatory Charities Act disclosures to /donor.html and /charities.html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Execute Data Processing Agreements with Resend, Twilio, HitPay, and Cloudflare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Before launch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PDPA consent mechanism at each data collection point in UI</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IPC status verification process for charity onboarding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 Ops</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rate limiting on OTP and magic-link endpoints (Cloudflare)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Conduct penetration test / security assessment before go-live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 External</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8</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 and test incident response plan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 Ops</w:t>
            </w:r>
          </w:p>
        </w:tc>
        <w:tc>
          <w:tcPr>
            <w:tcW w:type="dxa" w:w="16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7</w:t>
            </w:r>
          </w:p>
        </w:tc>
      </w:tr>
    </w:tbl>
    <w:p>
      <w:pPr>
        <w:spacing w:after="160" w:before="0"/>
      </w:pPr>
      <w:r>
        <w:t xml:space="preserve"/>
      </w:r>
    </w:p>
    <w:p>
      <w:pPr>
        <w:pStyle w:val="Heading2"/>
        <w:spacing w:after="80" w:before="280"/>
      </w:pPr>
      <w:r>
        <w:rPr>
          <w:rFonts w:ascii="Arial" w:cs="Arial" w:eastAsia="Arial" w:hAnsi="Arial"/>
          <w:b/>
          <w:bCs/>
          <w:color w:val="1E3A5F"/>
          <w:sz w:val="24"/>
          <w:szCs w:val="24"/>
        </w:rPr>
        <w:t xml:space="preserve">12.3 Medium Priority — Complete Before Soft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 / Team</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Establish Statement of Accounts process and identify Public Accountant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Finance</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Pre-launch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AML/CFT internal policy document and staff training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Pre-launch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NRIC-to-charity transmission process for tax receipt issuance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6</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Key rotation policy for NRIC_ENCRYPTION_KEY and SESSION_HMAC_SECRET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7</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 for GST monitoring (alert when turnover approaches S$1 million)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Finance</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Ongoing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Review PFA execution method (wet-ink vs e-signature) with legal counsel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Founder / Legal</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Pre-launch</w:t>
            </w:r>
          </w:p>
        </w:tc>
      </w:tr>
    </w:tbl>
    <w:p>
      <w:pPr>
        <w:spacing w:after="160" w:before="0"/>
      </w:pPr>
      <w:r>
        <w:t xml:space="preserve"/>
      </w:r>
    </w:p>
    <w:p>
      <w:pPr>
        <w:pStyle w:val="Heading2"/>
        <w:spacing w:after="80" w:before="280"/>
      </w:pPr>
      <w:r>
        <w:rPr>
          <w:rFonts w:ascii="Arial" w:cs="Arial" w:eastAsia="Arial" w:hAnsi="Arial"/>
          <w:b/>
          <w:bCs/>
          <w:color w:val="1E3A5F"/>
          <w:sz w:val="24"/>
          <w:szCs w:val="24"/>
        </w:rPr>
        <w:t xml:space="preserve">12.4 Ongoing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 / Team</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 IPC status verification for all charity partners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Ops</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 PDPA programme review and DPO tabletop exercise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DPO</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Monitor IRAS 250% deduction extension beyond December 2026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Finance</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Dec 2026</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ACRA annual return and AGM</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Company Secretary</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AML/CFT programme annual audit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Compliance</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Annual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PSA licence renewal (if licensed)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Legal</w:t>
            </w:r>
          </w:p>
        </w:tc>
        <w:tc>
          <w:tcPr>
            <w:tcW w:type="dxa" w:w="16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MEDIUM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11827"/>
                <w:sz w:val="20"/>
                <w:szCs w:val="20"/>
              </w:rPr>
              <w:t xml:space="preserve">Per licence term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Monitor PSN01 amendments and MAS guidance updates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Legal / Compliance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LOW</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Ongoing</w:t>
            </w:r>
          </w:p>
        </w:tc>
      </w:tr>
    </w:tbl>
    <w:p>
      <w:r>
        <w:br w:type="page"/>
      </w:r>
    </w:p>
    <w:p>
      <w:pPr>
        <w:pStyle w:val="Heading1"/>
        <w:spacing w:after="120" w:before="360"/>
      </w:pPr>
      <w:r>
        <w:rPr>
          <w:rFonts w:ascii="Arial" w:cs="Arial" w:eastAsia="Arial" w:hAnsi="Arial"/>
          <w:b/>
          <w:bCs/>
          <w:color w:val="C01B1B"/>
          <w:sz w:val="28"/>
          <w:szCs w:val="28"/>
        </w:rPr>
        <w:t xml:space="preserve">13. Disclaimer and Next Steps</w:t>
      </w:r>
    </w:p>
    <w:p>
      <w:pPr>
        <w:spacing w:after="80" w:before="60"/>
      </w:pPr>
      <w:r>
        <w:rPr>
          <w:rFonts w:ascii="Arial" w:cs="Arial" w:eastAsia="Arial" w:hAnsi="Arial"/>
          <w:color w:val="111827"/>
          <w:sz w:val="22"/>
          <w:szCs w:val="22"/>
        </w:rPr>
        <w:t xml:space="preserve">This document is an internal management briefing document prepared by the Altru management team based on publicly available regulatory information as at May 2026. It is intended to identify and frame the regulatory landscape for management review.</w:t>
      </w:r>
    </w:p>
    <w:p>
      <w:pPr>
        <w:spacing w:after="80" w:before="0"/>
      </w:pPr>
      <w:r>
        <w:t xml:space="preserve"/>
      </w:r>
    </w:p>
    <w:p>
      <w:pPr>
        <w:spacing w:after="80" w:before="60"/>
      </w:pPr>
      <w:r>
        <w:rPr>
          <w:rFonts w:ascii="Arial" w:cs="Arial" w:eastAsia="Arial" w:hAnsi="Arial"/>
          <w:color w:val="111827"/>
          <w:sz w:val="22"/>
          <w:szCs w:val="22"/>
        </w:rPr>
        <w:t xml:space="preserve">This document does not constitute legal advice. The regulatory positions set out herein — particularly in relation to the Payment Services Act, the Charities Act commercial fund-raiser requirements, and the IRAS tax deduction mechanic — involve complex legal questions that must be confirmed by qualified Singapore legal counsel and, where appropriate, by the relevant regulatory authorities (MAS, COC, IRAS) themselves.</w:t>
      </w:r>
    </w:p>
    <w:p>
      <w:pPr>
        <w:spacing w:after="80" w:before="0"/>
      </w:pPr>
      <w:r>
        <w:t xml:space="preserve"/>
      </w:r>
    </w:p>
    <w:p>
      <w:pPr>
        <w:spacing w:after="80" w:before="60"/>
      </w:pPr>
      <w:r>
        <w:rPr>
          <w:rFonts w:ascii="Arial" w:cs="Arial" w:eastAsia="Arial" w:hAnsi="Arial"/>
          <w:color w:val="111827"/>
          <w:sz w:val="22"/>
          <w:szCs w:val="22"/>
        </w:rPr>
        <w:t xml:space="preserve">Recommended professional engagements:</w:t>
      </w:r>
    </w:p>
    <w:p>
      <w:pPr>
        <w:pStyle w:val="ListParagraph"/>
        <w:numPr>
          <w:ilvl w:val="0"/>
          <w:numId w:val="2"/>
        </w:numPr>
        <w:spacing w:after="40" w:before="40"/>
      </w:pPr>
      <w:r>
        <w:rPr>
          <w:rFonts w:ascii="Arial" w:cs="Arial" w:eastAsia="Arial" w:hAnsi="Arial"/>
          <w:color w:val="111827"/>
          <w:sz w:val="22"/>
          <w:szCs w:val="22"/>
        </w:rPr>
        <w:t xml:space="preserve">Singapore payments law counsel — PSA posture opinion, MAS exemption analysis (~S$300-600, 1-hour brief; full opinion ~S$2,000-5,000)</w:t>
      </w:r>
    </w:p>
    <w:p>
      <w:pPr>
        <w:pStyle w:val="ListParagraph"/>
        <w:numPr>
          <w:ilvl w:val="0"/>
          <w:numId w:val="2"/>
        </w:numPr>
        <w:spacing w:after="40" w:before="40"/>
      </w:pPr>
      <w:r>
        <w:rPr>
          <w:rFonts w:ascii="Arial" w:cs="Arial" w:eastAsia="Arial" w:hAnsi="Arial"/>
          <w:color w:val="111827"/>
          <w:sz w:val="22"/>
          <w:szCs w:val="22"/>
        </w:rPr>
        <w:t xml:space="preserve">Singapore charity/nonprofit law counsel — Charities Act compliance, PFA drafting, fundraising permit applications</w:t>
      </w:r>
    </w:p>
    <w:p>
      <w:pPr>
        <w:pStyle w:val="ListParagraph"/>
        <w:numPr>
          <w:ilvl w:val="0"/>
          <w:numId w:val="2"/>
        </w:numPr>
        <w:spacing w:after="40" w:before="40"/>
      </w:pPr>
      <w:r>
        <w:rPr>
          <w:rFonts w:ascii="Arial" w:cs="Arial" w:eastAsia="Arial" w:hAnsi="Arial"/>
          <w:color w:val="111827"/>
          <w:sz w:val="22"/>
          <w:szCs w:val="22"/>
        </w:rPr>
        <w:t xml:space="preserve">IRAS — Direct written inquiry on the couple-as-named-donor tax receipt mechanic (self-directed)</w:t>
      </w:r>
    </w:p>
    <w:p>
      <w:pPr>
        <w:pStyle w:val="ListParagraph"/>
        <w:numPr>
          <w:ilvl w:val="0"/>
          <w:numId w:val="2"/>
        </w:numPr>
        <w:spacing w:after="40" w:before="40"/>
      </w:pPr>
      <w:r>
        <w:rPr>
          <w:rFonts w:ascii="Arial" w:cs="Arial" w:eastAsia="Arial" w:hAnsi="Arial"/>
          <w:color w:val="111827"/>
          <w:sz w:val="22"/>
          <w:szCs w:val="22"/>
        </w:rPr>
        <w:t xml:space="preserve">Commissioner of Charities — Fundraising permit application (self-directed via Charity Portal)</w:t>
      </w:r>
    </w:p>
    <w:p>
      <w:pPr>
        <w:pStyle w:val="ListParagraph"/>
        <w:numPr>
          <w:ilvl w:val="0"/>
          <w:numId w:val="2"/>
        </w:numPr>
        <w:spacing w:after="40" w:before="40"/>
      </w:pPr>
      <w:r>
        <w:rPr>
          <w:rFonts w:ascii="Arial" w:cs="Arial" w:eastAsia="Arial" w:hAnsi="Arial"/>
          <w:color w:val="111827"/>
          <w:sz w:val="22"/>
          <w:szCs w:val="22"/>
        </w:rPr>
        <w:t xml:space="preserve">Singapore-qualified accountant — GST monitoring, ACRA filings, financial statements (~S$80-150/month via Sleek or Osome)</w:t>
      </w:r>
    </w:p>
    <w:p>
      <w:pPr>
        <w:spacing w:after="120" w:before="0"/>
      </w:pPr>
      <w:r>
        <w:t xml:space="preserve"/>
      </w:r>
    </w:p>
    <w:p>
      <w:pPr>
        <w:spacing w:after="80" w:before="60"/>
      </w:pPr>
      <w:r>
        <w:rPr>
          <w:rFonts w:ascii="Arial" w:cs="Arial" w:eastAsia="Arial" w:hAnsi="Arial"/>
          <w:i/>
          <w:iCs/>
          <w:color w:val="374151"/>
          <w:sz w:val="22"/>
          <w:szCs w:val="22"/>
        </w:rPr>
        <w:t xml:space="preserve">Prepared by the Altru Asia Pte Ltd management team. May 2026.</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1B1B" w:sz="2" w:space="1"/>
      </w:pBdr>
      <w:tabs>
        <w:tab w:val="right" w:pos="9360"/>
      </w:tabs>
    </w:pPr>
    <w:r>
      <w:rPr>
        <w:rFonts w:ascii="Arial" w:cs="Arial" w:eastAsia="Arial" w:hAnsi="Arial"/>
        <w:color w:val="374151"/>
        <w:sz w:val="18"/>
        <w:szCs w:val="18"/>
      </w:rPr>
      <w:t xml:space="preserve">May 2026  |  Version 1.0  |  Pre-Launch</w:t>
    </w:r>
    <w:r>
      <w:rPr>
        <w:rFonts w:ascii="Arial" w:cs="Arial" w:eastAsia="Arial" w:hAnsi="Arial"/>
        <w:color w:val="374151"/>
        <w:sz w:val="18"/>
        <w:szCs w:val="18"/>
      </w:rPr>
      <w:t xml:space="preserve">	Page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1B1B" w:sz="2" w:space="1"/>
      </w:pBdr>
    </w:pPr>
    <w:r>
      <w:rPr>
        <w:rFonts w:ascii="Arial" w:cs="Arial" w:eastAsia="Arial" w:hAnsi="Arial"/>
        <w:color w:val="374151"/>
        <w:sz w:val="18"/>
        <w:szCs w:val="18"/>
      </w:rPr>
      <w:t xml:space="preserve">ALTRU ASIA PTE LTD  |  Regulatory Compliance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1B1B"/>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E3A5F"/>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2026-05-13T05:04:55.867Z</dcterms:created>
  <dcterms:modified xsi:type="dcterms:W3CDTF">2026-05-13T05:04:55.867Z</dcterms:modified>
</cp:coreProperties>
</file>

<file path=docProps/custom.xml><?xml version="1.0" encoding="utf-8"?>
<Properties xmlns="http://schemas.openxmlformats.org/officeDocument/2006/custom-properties" xmlns:vt="http://schemas.openxmlformats.org/officeDocument/2006/docPropsVTypes"/>
</file>