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60FB" w14:textId="77777777" w:rsidR="0010309D" w:rsidRPr="0010309D" w:rsidRDefault="0010309D" w:rsidP="0010309D">
      <w:pPr>
        <w:rPr>
          <w:b/>
          <w:bCs/>
        </w:rPr>
      </w:pPr>
      <w:r w:rsidRPr="0010309D">
        <w:rPr>
          <w:b/>
          <w:bCs/>
        </w:rPr>
        <w:t>Positive Risk 1: Legacy System Limitations</w:t>
      </w:r>
    </w:p>
    <w:p w14:paraId="278157C6" w14:textId="77777777" w:rsidR="0010309D" w:rsidRPr="0010309D" w:rsidRDefault="0010309D" w:rsidP="0010309D">
      <w:r w:rsidRPr="0010309D">
        <w:rPr>
          <w:b/>
          <w:bCs/>
        </w:rPr>
        <w:t>Type:</w:t>
      </w:r>
      <w:r w:rsidRPr="0010309D">
        <w:t xml:space="preserve"> Strategic / Operational Opportunity</w:t>
      </w:r>
      <w:r w:rsidRPr="0010309D">
        <w:br/>
      </w:r>
      <w:r w:rsidRPr="0010309D">
        <w:rPr>
          <w:b/>
          <w:bCs/>
        </w:rPr>
        <w:t>Risk Level:</w:t>
      </w:r>
      <w:r w:rsidRPr="0010309D">
        <w:t xml:space="preserve"> High Opportunity Value</w:t>
      </w:r>
    </w:p>
    <w:p w14:paraId="2811118F" w14:textId="40ADDC81" w:rsidR="0010309D" w:rsidRPr="0010309D" w:rsidRDefault="0010309D" w:rsidP="0010309D">
      <w:r w:rsidRPr="0010309D">
        <w:rPr>
          <w:b/>
          <w:bCs/>
        </w:rPr>
        <w:t>Response Strategy: Exploit + Enhance</w:t>
      </w:r>
    </w:p>
    <w:p w14:paraId="31DB717E" w14:textId="77777777" w:rsidR="0010309D" w:rsidRPr="0010309D" w:rsidRDefault="0010309D" w:rsidP="0010309D">
      <w:r w:rsidRPr="0010309D">
        <w:pict w14:anchorId="140FF597">
          <v:rect id="_x0000_i1067" style="width:0;height:1.5pt" o:hralign="center" o:hrstd="t" o:hr="t" fillcolor="#a0a0a0" stroked="f"/>
        </w:pict>
      </w:r>
    </w:p>
    <w:p w14:paraId="4A9DC0BF" w14:textId="77777777" w:rsidR="0010309D" w:rsidRPr="0010309D" w:rsidRDefault="0010309D" w:rsidP="0010309D">
      <w:pPr>
        <w:rPr>
          <w:b/>
          <w:bCs/>
        </w:rPr>
      </w:pPr>
      <w:r w:rsidRPr="0010309D">
        <w:rPr>
          <w:b/>
          <w:bCs/>
        </w:rPr>
        <w:t>Justification</w:t>
      </w:r>
    </w:p>
    <w:p w14:paraId="20F82E4A" w14:textId="77777777" w:rsidR="0010309D" w:rsidRPr="0010309D" w:rsidRDefault="0010309D" w:rsidP="0010309D">
      <w:r w:rsidRPr="0010309D">
        <w:t xml:space="preserve">Legacy system limitations, while traditionally viewed as constraints, present a significant strategic opportunity for transformation and value creation. Given the high opportunity value, this scenario is best addressed through an </w:t>
      </w:r>
      <w:r w:rsidRPr="0010309D">
        <w:rPr>
          <w:b/>
          <w:bCs/>
        </w:rPr>
        <w:t>exploit and enhance strategy</w:t>
      </w:r>
      <w:r w:rsidRPr="0010309D">
        <w:t>, as outlined in risk response frameworks. Exploitation ensures full realization of the opportunity, while enhancement increases both the likelihood and impact of successful outcomes.</w:t>
      </w:r>
    </w:p>
    <w:p w14:paraId="6C148A9F" w14:textId="77777777" w:rsidR="0010309D" w:rsidRPr="0010309D" w:rsidRDefault="0010309D" w:rsidP="0010309D">
      <w:r w:rsidRPr="0010309D">
        <w:t xml:space="preserve">By addressing legacy constraints, organizations such as Manulife can unlock improved </w:t>
      </w:r>
      <w:r w:rsidRPr="0010309D">
        <w:rPr>
          <w:b/>
          <w:bCs/>
        </w:rPr>
        <w:t>operational efficiency</w:t>
      </w:r>
      <w:r w:rsidRPr="0010309D">
        <w:t xml:space="preserve">, enhanced </w:t>
      </w:r>
      <w:r w:rsidRPr="0010309D">
        <w:rPr>
          <w:b/>
          <w:bCs/>
        </w:rPr>
        <w:t>data quality</w:t>
      </w:r>
      <w:r w:rsidRPr="0010309D">
        <w:t xml:space="preserve">, and stronger </w:t>
      </w:r>
      <w:r w:rsidRPr="0010309D">
        <w:rPr>
          <w:b/>
          <w:bCs/>
        </w:rPr>
        <w:t>scalability</w:t>
      </w:r>
      <w:r w:rsidRPr="0010309D">
        <w:t>. This opportunity is closely aligned with broader digital transformation initiatives, including advanced analytics, automation, and platform integration. Modernizing legacy systems enables more reliable data inputs, reduces manual intervention, and supports seamless integration with emerging technologies.</w:t>
      </w:r>
    </w:p>
    <w:p w14:paraId="6B16E960" w14:textId="0738B70E" w:rsidR="0010309D" w:rsidRPr="0010309D" w:rsidRDefault="0010309D" w:rsidP="0010309D"/>
    <w:p w14:paraId="6903EC34" w14:textId="50873E1A" w:rsidR="0010309D" w:rsidRPr="0010309D" w:rsidRDefault="0010309D" w:rsidP="0010309D">
      <w:pPr>
        <w:rPr>
          <w:b/>
          <w:bCs/>
        </w:rPr>
      </w:pPr>
      <w:r w:rsidRPr="0010309D">
        <w:rPr>
          <w:b/>
          <w:bCs/>
        </w:rPr>
        <w:t>Response Plan</w:t>
      </w:r>
    </w:p>
    <w:p w14:paraId="5689691F" w14:textId="77777777" w:rsidR="0010309D" w:rsidRPr="0010309D" w:rsidRDefault="0010309D" w:rsidP="0010309D">
      <w:r w:rsidRPr="0010309D">
        <w:rPr>
          <w:b/>
          <w:bCs/>
        </w:rPr>
        <w:t>Legacy Modernization Planning</w:t>
      </w:r>
    </w:p>
    <w:p w14:paraId="7092A91E" w14:textId="77777777" w:rsidR="0010309D" w:rsidRPr="0010309D" w:rsidRDefault="0010309D" w:rsidP="0010309D">
      <w:pPr>
        <w:numPr>
          <w:ilvl w:val="0"/>
          <w:numId w:val="1"/>
        </w:numPr>
      </w:pPr>
      <w:r w:rsidRPr="0010309D">
        <w:t xml:space="preserve">Assess critical workflows impacted by legacy system constraints </w:t>
      </w:r>
    </w:p>
    <w:p w14:paraId="456EE274" w14:textId="77777777" w:rsidR="0010309D" w:rsidRPr="0010309D" w:rsidRDefault="0010309D" w:rsidP="0010309D">
      <w:pPr>
        <w:numPr>
          <w:ilvl w:val="0"/>
          <w:numId w:val="1"/>
        </w:numPr>
      </w:pPr>
      <w:r w:rsidRPr="0010309D">
        <w:t xml:space="preserve">Prioritize system upgrades based on business value and risk exposure </w:t>
      </w:r>
    </w:p>
    <w:p w14:paraId="49F24E09" w14:textId="77777777" w:rsidR="0010309D" w:rsidRPr="0010309D" w:rsidRDefault="0010309D" w:rsidP="0010309D">
      <w:r w:rsidRPr="0010309D">
        <w:rPr>
          <w:b/>
          <w:bCs/>
        </w:rPr>
        <w:t>Data &amp; Integration Improvements</w:t>
      </w:r>
    </w:p>
    <w:p w14:paraId="6FA89D90" w14:textId="77777777" w:rsidR="0010309D" w:rsidRPr="0010309D" w:rsidRDefault="0010309D" w:rsidP="0010309D">
      <w:pPr>
        <w:numPr>
          <w:ilvl w:val="0"/>
          <w:numId w:val="2"/>
        </w:numPr>
      </w:pPr>
      <w:r w:rsidRPr="0010309D">
        <w:t xml:space="preserve">Implement interoperability solutions such as APIs and ETL pipelines </w:t>
      </w:r>
    </w:p>
    <w:p w14:paraId="32B1858A" w14:textId="77777777" w:rsidR="0010309D" w:rsidRPr="0010309D" w:rsidRDefault="0010309D" w:rsidP="0010309D">
      <w:pPr>
        <w:numPr>
          <w:ilvl w:val="0"/>
          <w:numId w:val="2"/>
        </w:numPr>
      </w:pPr>
      <w:r w:rsidRPr="0010309D">
        <w:t xml:space="preserve">Enhance data consistency and reporting reliability </w:t>
      </w:r>
    </w:p>
    <w:p w14:paraId="5F5CCC15" w14:textId="77777777" w:rsidR="0010309D" w:rsidRPr="0010309D" w:rsidRDefault="0010309D" w:rsidP="0010309D">
      <w:r w:rsidRPr="0010309D">
        <w:rPr>
          <w:b/>
          <w:bCs/>
        </w:rPr>
        <w:t>Automation &amp; Process Efficiency</w:t>
      </w:r>
    </w:p>
    <w:p w14:paraId="060E3060" w14:textId="77777777" w:rsidR="0010309D" w:rsidRPr="0010309D" w:rsidRDefault="0010309D" w:rsidP="0010309D">
      <w:pPr>
        <w:numPr>
          <w:ilvl w:val="0"/>
          <w:numId w:val="3"/>
        </w:numPr>
      </w:pPr>
      <w:r w:rsidRPr="0010309D">
        <w:t xml:space="preserve">Replace manual, high-friction processes with automated workflows </w:t>
      </w:r>
    </w:p>
    <w:p w14:paraId="6962982E" w14:textId="77777777" w:rsidR="0010309D" w:rsidRPr="0010309D" w:rsidRDefault="0010309D" w:rsidP="0010309D">
      <w:pPr>
        <w:numPr>
          <w:ilvl w:val="0"/>
          <w:numId w:val="3"/>
        </w:numPr>
      </w:pPr>
      <w:r w:rsidRPr="0010309D">
        <w:t xml:space="preserve">Improve cycle times and operational resilience </w:t>
      </w:r>
    </w:p>
    <w:p w14:paraId="06751D97" w14:textId="77777777" w:rsidR="0010309D" w:rsidRPr="0010309D" w:rsidRDefault="0010309D" w:rsidP="0010309D">
      <w:r w:rsidRPr="0010309D">
        <w:rPr>
          <w:b/>
          <w:bCs/>
        </w:rPr>
        <w:t>Foundational Readiness for Growth</w:t>
      </w:r>
    </w:p>
    <w:p w14:paraId="55FCED84" w14:textId="77777777" w:rsidR="0010309D" w:rsidRPr="0010309D" w:rsidRDefault="0010309D" w:rsidP="0010309D">
      <w:pPr>
        <w:numPr>
          <w:ilvl w:val="0"/>
          <w:numId w:val="4"/>
        </w:numPr>
      </w:pPr>
      <w:r w:rsidRPr="0010309D">
        <w:lastRenderedPageBreak/>
        <w:t xml:space="preserve">Develop scalable system architecture to support future analytics initiatives </w:t>
      </w:r>
    </w:p>
    <w:p w14:paraId="6330BB9D" w14:textId="77777777" w:rsidR="0010309D" w:rsidRPr="0010309D" w:rsidRDefault="0010309D" w:rsidP="0010309D">
      <w:pPr>
        <w:numPr>
          <w:ilvl w:val="0"/>
          <w:numId w:val="4"/>
        </w:numPr>
      </w:pPr>
      <w:proofErr w:type="gramStart"/>
      <w:r w:rsidRPr="0010309D">
        <w:t>Strengthen</w:t>
      </w:r>
      <w:proofErr w:type="gramEnd"/>
      <w:r w:rsidRPr="0010309D">
        <w:t xml:space="preserve"> governance, monitoring, and secure access controls </w:t>
      </w:r>
    </w:p>
    <w:p w14:paraId="5F9A6DFE" w14:textId="0E9BB9EF" w:rsidR="0010309D" w:rsidRPr="0010309D" w:rsidRDefault="0010309D" w:rsidP="0010309D"/>
    <w:p w14:paraId="427AA20F" w14:textId="380219C0" w:rsidR="0010309D" w:rsidRPr="0010309D" w:rsidRDefault="0010309D" w:rsidP="0010309D">
      <w:pPr>
        <w:rPr>
          <w:b/>
          <w:bCs/>
        </w:rPr>
      </w:pPr>
      <w:r w:rsidRPr="0010309D">
        <w:rPr>
          <w:b/>
          <w:bCs/>
        </w:rPr>
        <w:t>Quantitative Link</w:t>
      </w:r>
    </w:p>
    <w:p w14:paraId="75A7EBCB" w14:textId="77777777" w:rsidR="0010309D" w:rsidRPr="0010309D" w:rsidRDefault="0010309D" w:rsidP="0010309D">
      <w:pPr>
        <w:numPr>
          <w:ilvl w:val="0"/>
          <w:numId w:val="5"/>
        </w:numPr>
      </w:pPr>
      <w:r w:rsidRPr="0010309D">
        <w:t xml:space="preserve">Reduction in manual processing time → decreased operational costs </w:t>
      </w:r>
    </w:p>
    <w:p w14:paraId="460DBC7D" w14:textId="77777777" w:rsidR="0010309D" w:rsidRPr="0010309D" w:rsidRDefault="0010309D" w:rsidP="0010309D">
      <w:pPr>
        <w:numPr>
          <w:ilvl w:val="0"/>
          <w:numId w:val="5"/>
        </w:numPr>
      </w:pPr>
      <w:r w:rsidRPr="0010309D">
        <w:t xml:space="preserve">Improved data accuracy → enhanced forecasting reliability </w:t>
      </w:r>
    </w:p>
    <w:p w14:paraId="1804D710" w14:textId="77777777" w:rsidR="0010309D" w:rsidRPr="0010309D" w:rsidRDefault="0010309D" w:rsidP="0010309D">
      <w:pPr>
        <w:numPr>
          <w:ilvl w:val="0"/>
          <w:numId w:val="5"/>
        </w:numPr>
      </w:pPr>
      <w:r w:rsidRPr="0010309D">
        <w:t xml:space="preserve">Increased system uptime → improved execution of revenue-generating activities </w:t>
      </w:r>
    </w:p>
    <w:p w14:paraId="0CBB3783" w14:textId="3258AAC3" w:rsidR="0010309D" w:rsidRPr="0010309D" w:rsidRDefault="0010309D" w:rsidP="0010309D"/>
    <w:p w14:paraId="054D66FF" w14:textId="590A17AC" w:rsidR="0010309D" w:rsidRPr="0010309D" w:rsidRDefault="0010309D" w:rsidP="0010309D">
      <w:pPr>
        <w:rPr>
          <w:b/>
          <w:bCs/>
        </w:rPr>
      </w:pPr>
      <w:r w:rsidRPr="0010309D">
        <w:rPr>
          <w:b/>
          <w:bCs/>
        </w:rPr>
        <w:t>Key Risk Indicators (KRIs)</w:t>
      </w:r>
    </w:p>
    <w:p w14:paraId="05750647" w14:textId="77777777" w:rsidR="0010309D" w:rsidRPr="0010309D" w:rsidRDefault="0010309D" w:rsidP="0010309D">
      <w:pPr>
        <w:numPr>
          <w:ilvl w:val="0"/>
          <w:numId w:val="6"/>
        </w:numPr>
      </w:pPr>
      <w:r w:rsidRPr="0010309D">
        <w:t xml:space="preserve">Volume of deferred integration or modernization requests </w:t>
      </w:r>
    </w:p>
    <w:p w14:paraId="757E89C3" w14:textId="77777777" w:rsidR="0010309D" w:rsidRPr="0010309D" w:rsidRDefault="0010309D" w:rsidP="0010309D">
      <w:pPr>
        <w:numPr>
          <w:ilvl w:val="0"/>
          <w:numId w:val="6"/>
        </w:numPr>
      </w:pPr>
      <w:r w:rsidRPr="0010309D">
        <w:t xml:space="preserve">Frequency of reconciliation errors and reporting inconsistencies </w:t>
      </w:r>
    </w:p>
    <w:p w14:paraId="1277F1FB" w14:textId="77777777" w:rsidR="0010309D" w:rsidRPr="0010309D" w:rsidRDefault="0010309D" w:rsidP="0010309D">
      <w:pPr>
        <w:numPr>
          <w:ilvl w:val="0"/>
          <w:numId w:val="6"/>
        </w:numPr>
      </w:pPr>
      <w:r w:rsidRPr="0010309D">
        <w:t xml:space="preserve">System uptime and incident rates associated with legacy platforms </w:t>
      </w:r>
    </w:p>
    <w:p w14:paraId="1E8AF2A4" w14:textId="68F11036" w:rsidR="0010309D" w:rsidRPr="0010309D" w:rsidRDefault="0010309D" w:rsidP="0010309D"/>
    <w:p w14:paraId="538B49DB" w14:textId="74074F72" w:rsidR="0010309D" w:rsidRPr="0010309D" w:rsidRDefault="0010309D" w:rsidP="0010309D">
      <w:pPr>
        <w:rPr>
          <w:b/>
          <w:bCs/>
        </w:rPr>
      </w:pPr>
      <w:r w:rsidRPr="0010309D">
        <w:rPr>
          <w:b/>
          <w:bCs/>
        </w:rPr>
        <w:t>Risk Owner</w:t>
      </w:r>
    </w:p>
    <w:p w14:paraId="219D2CF4" w14:textId="77777777" w:rsidR="0010309D" w:rsidRPr="0010309D" w:rsidRDefault="0010309D" w:rsidP="0010309D">
      <w:r w:rsidRPr="0010309D">
        <w:t>Chief Technology Officer / Head of Platform Transformation</w:t>
      </w:r>
    </w:p>
    <w:p w14:paraId="25D250AD" w14:textId="25D35487" w:rsidR="0010309D" w:rsidRPr="0010309D" w:rsidRDefault="0010309D" w:rsidP="0010309D"/>
    <w:p w14:paraId="106DD3FE" w14:textId="1E5A17FA" w:rsidR="0010309D" w:rsidRPr="0010309D" w:rsidRDefault="0010309D" w:rsidP="0010309D">
      <w:pPr>
        <w:rPr>
          <w:b/>
          <w:bCs/>
        </w:rPr>
      </w:pPr>
      <w:r w:rsidRPr="0010309D">
        <w:rPr>
          <w:b/>
          <w:bCs/>
        </w:rPr>
        <w:t>Residual Risk</w:t>
      </w:r>
    </w:p>
    <w:p w14:paraId="606A7443" w14:textId="77777777" w:rsidR="0010309D" w:rsidRPr="0010309D" w:rsidRDefault="0010309D" w:rsidP="0010309D">
      <w:pPr>
        <w:numPr>
          <w:ilvl w:val="0"/>
          <w:numId w:val="7"/>
        </w:numPr>
      </w:pPr>
      <w:r w:rsidRPr="0010309D">
        <w:t xml:space="preserve">Temporary disruptions during system migration phases </w:t>
      </w:r>
    </w:p>
    <w:p w14:paraId="6EFB28FF" w14:textId="77777777" w:rsidR="0010309D" w:rsidRPr="0010309D" w:rsidRDefault="0010309D" w:rsidP="0010309D">
      <w:pPr>
        <w:numPr>
          <w:ilvl w:val="0"/>
          <w:numId w:val="7"/>
        </w:numPr>
      </w:pPr>
      <w:r w:rsidRPr="0010309D">
        <w:t xml:space="preserve">Increased complexity due to coexistence of legacy and modern systems </w:t>
      </w:r>
    </w:p>
    <w:p w14:paraId="3460A5BD" w14:textId="77777777" w:rsidR="0010309D" w:rsidRPr="0010309D" w:rsidRDefault="0010309D" w:rsidP="0010309D">
      <w:pPr>
        <w:numPr>
          <w:ilvl w:val="0"/>
          <w:numId w:val="7"/>
        </w:numPr>
      </w:pPr>
      <w:r w:rsidRPr="0010309D">
        <w:t xml:space="preserve">Potential security vulnerabilities from outdated system interfaces </w:t>
      </w:r>
    </w:p>
    <w:p w14:paraId="7AC31B19" w14:textId="77777777" w:rsidR="0010309D" w:rsidRPr="0010309D" w:rsidRDefault="0010309D" w:rsidP="0010309D">
      <w:pPr>
        <w:numPr>
          <w:ilvl w:val="0"/>
          <w:numId w:val="7"/>
        </w:numPr>
      </w:pPr>
      <w:r w:rsidRPr="0010309D">
        <w:t xml:space="preserve">Dependence on vendor timelines and integration capabilities </w:t>
      </w:r>
    </w:p>
    <w:p w14:paraId="29F38D50" w14:textId="375E7A9D" w:rsidR="0010309D" w:rsidRPr="0010309D" w:rsidRDefault="0010309D" w:rsidP="0010309D"/>
    <w:p w14:paraId="7F80FA05" w14:textId="77777777" w:rsidR="0010309D" w:rsidRPr="0010309D" w:rsidRDefault="0010309D" w:rsidP="0010309D">
      <w:pPr>
        <w:rPr>
          <w:b/>
          <w:bCs/>
        </w:rPr>
      </w:pPr>
      <w:r w:rsidRPr="0010309D">
        <w:rPr>
          <w:b/>
          <w:bCs/>
        </w:rPr>
        <w:t>References</w:t>
      </w:r>
    </w:p>
    <w:p w14:paraId="1204885B" w14:textId="77777777" w:rsidR="0010309D" w:rsidRPr="0010309D" w:rsidRDefault="0010309D" w:rsidP="0010309D">
      <w:pPr>
        <w:numPr>
          <w:ilvl w:val="0"/>
          <w:numId w:val="8"/>
        </w:numPr>
      </w:pPr>
      <w:r w:rsidRPr="0010309D">
        <w:t xml:space="preserve">Project Management Institute (PMI). (2021). </w:t>
      </w:r>
      <w:r w:rsidRPr="0010309D">
        <w:rPr>
          <w:i/>
          <w:iCs/>
        </w:rPr>
        <w:t>A Guide to the Project Management Body of Knowledge (PMBOK® Guide)</w:t>
      </w:r>
      <w:r w:rsidRPr="0010309D">
        <w:t xml:space="preserve"> (7th ed.). PMI. </w:t>
      </w:r>
    </w:p>
    <w:p w14:paraId="40CF1A4F" w14:textId="48DC4173" w:rsidR="0010309D" w:rsidRDefault="0010309D" w:rsidP="0010309D">
      <w:pPr>
        <w:numPr>
          <w:ilvl w:val="0"/>
          <w:numId w:val="8"/>
        </w:numPr>
      </w:pPr>
      <w:r w:rsidRPr="0010309D">
        <w:t xml:space="preserve">International Organization for Standardization (ISO). (2018). </w:t>
      </w:r>
      <w:r w:rsidRPr="0010309D">
        <w:rPr>
          <w:i/>
          <w:iCs/>
        </w:rPr>
        <w:t>ISO 31000:2018 Risk Management – Guidelines</w:t>
      </w:r>
      <w:r w:rsidRPr="0010309D">
        <w:t>. ISO.</w:t>
      </w:r>
    </w:p>
    <w:sectPr w:rsidR="0010309D" w:rsidSect="0010309D">
      <w:pgSz w:w="12240" w:h="15840"/>
      <w:pgMar w:top="1440"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7E0B"/>
    <w:multiLevelType w:val="multilevel"/>
    <w:tmpl w:val="5AEC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D0A22"/>
    <w:multiLevelType w:val="multilevel"/>
    <w:tmpl w:val="D91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46C4D"/>
    <w:multiLevelType w:val="multilevel"/>
    <w:tmpl w:val="0A46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141A6"/>
    <w:multiLevelType w:val="multilevel"/>
    <w:tmpl w:val="7786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57EF5"/>
    <w:multiLevelType w:val="multilevel"/>
    <w:tmpl w:val="C42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25EA8"/>
    <w:multiLevelType w:val="multilevel"/>
    <w:tmpl w:val="48B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315C6"/>
    <w:multiLevelType w:val="multilevel"/>
    <w:tmpl w:val="E2E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76370"/>
    <w:multiLevelType w:val="multilevel"/>
    <w:tmpl w:val="28C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094557">
    <w:abstractNumId w:val="0"/>
  </w:num>
  <w:num w:numId="2" w16cid:durableId="1537889932">
    <w:abstractNumId w:val="6"/>
  </w:num>
  <w:num w:numId="3" w16cid:durableId="1786389841">
    <w:abstractNumId w:val="7"/>
  </w:num>
  <w:num w:numId="4" w16cid:durableId="301547328">
    <w:abstractNumId w:val="3"/>
  </w:num>
  <w:num w:numId="5" w16cid:durableId="1833595083">
    <w:abstractNumId w:val="1"/>
  </w:num>
  <w:num w:numId="6" w16cid:durableId="2083528304">
    <w:abstractNumId w:val="5"/>
  </w:num>
  <w:num w:numId="7" w16cid:durableId="1563056796">
    <w:abstractNumId w:val="2"/>
  </w:num>
  <w:num w:numId="8" w16cid:durableId="2120106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09D"/>
    <w:rsid w:val="0010309D"/>
    <w:rsid w:val="00104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8E739"/>
  <w15:chartTrackingRefBased/>
  <w15:docId w15:val="{A4627A05-EDA7-465E-9338-D98AD44A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09D"/>
    <w:rPr>
      <w:rFonts w:eastAsiaTheme="majorEastAsia" w:cstheme="majorBidi"/>
      <w:color w:val="272727" w:themeColor="text1" w:themeTint="D8"/>
    </w:rPr>
  </w:style>
  <w:style w:type="paragraph" w:styleId="Title">
    <w:name w:val="Title"/>
    <w:basedOn w:val="Normal"/>
    <w:next w:val="Normal"/>
    <w:link w:val="TitleChar"/>
    <w:uiPriority w:val="10"/>
    <w:qFormat/>
    <w:rsid w:val="00103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09D"/>
    <w:pPr>
      <w:spacing w:before="160"/>
      <w:jc w:val="center"/>
    </w:pPr>
    <w:rPr>
      <w:i/>
      <w:iCs/>
      <w:color w:val="404040" w:themeColor="text1" w:themeTint="BF"/>
    </w:rPr>
  </w:style>
  <w:style w:type="character" w:customStyle="1" w:styleId="QuoteChar">
    <w:name w:val="Quote Char"/>
    <w:basedOn w:val="DefaultParagraphFont"/>
    <w:link w:val="Quote"/>
    <w:uiPriority w:val="29"/>
    <w:rsid w:val="0010309D"/>
    <w:rPr>
      <w:i/>
      <w:iCs/>
      <w:color w:val="404040" w:themeColor="text1" w:themeTint="BF"/>
    </w:rPr>
  </w:style>
  <w:style w:type="paragraph" w:styleId="ListParagraph">
    <w:name w:val="List Paragraph"/>
    <w:basedOn w:val="Normal"/>
    <w:uiPriority w:val="34"/>
    <w:qFormat/>
    <w:rsid w:val="0010309D"/>
    <w:pPr>
      <w:ind w:left="720"/>
      <w:contextualSpacing/>
    </w:pPr>
  </w:style>
  <w:style w:type="character" w:styleId="IntenseEmphasis">
    <w:name w:val="Intense Emphasis"/>
    <w:basedOn w:val="DefaultParagraphFont"/>
    <w:uiPriority w:val="21"/>
    <w:qFormat/>
    <w:rsid w:val="0010309D"/>
    <w:rPr>
      <w:i/>
      <w:iCs/>
      <w:color w:val="0F4761" w:themeColor="accent1" w:themeShade="BF"/>
    </w:rPr>
  </w:style>
  <w:style w:type="paragraph" w:styleId="IntenseQuote">
    <w:name w:val="Intense Quote"/>
    <w:basedOn w:val="Normal"/>
    <w:next w:val="Normal"/>
    <w:link w:val="IntenseQuoteChar"/>
    <w:uiPriority w:val="30"/>
    <w:qFormat/>
    <w:rsid w:val="00103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09D"/>
    <w:rPr>
      <w:i/>
      <w:iCs/>
      <w:color w:val="0F4761" w:themeColor="accent1" w:themeShade="BF"/>
    </w:rPr>
  </w:style>
  <w:style w:type="character" w:styleId="IntenseReference">
    <w:name w:val="Intense Reference"/>
    <w:basedOn w:val="DefaultParagraphFont"/>
    <w:uiPriority w:val="32"/>
    <w:qFormat/>
    <w:rsid w:val="00103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Sheriff IK</dc:creator>
  <cp:keywords/>
  <dc:description/>
  <cp:lastModifiedBy>Sheriff IK</cp:lastModifiedBy>
  <cp:revision>1</cp:revision>
  <dcterms:created xsi:type="dcterms:W3CDTF">2026-03-27T23:25:00Z</dcterms:created>
  <dcterms:modified xsi:type="dcterms:W3CDTF">2026-03-28T00:14:00Z</dcterms:modified>
</cp:coreProperties>
</file>