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0B17" w14:textId="3DDD5C59" w:rsidR="00746865" w:rsidRPr="00746865" w:rsidRDefault="00746865" w:rsidP="00746865">
      <w:pPr>
        <w:pBdr>
          <w:bottom w:val="single" w:sz="12" w:space="4" w:color="1F3864"/>
        </w:pBdr>
        <w:spacing w:before="360" w:after="120"/>
        <w:rPr>
          <w:rFonts w:asciiTheme="minorHAnsi" w:hAnsiTheme="minorHAnsi"/>
          <w:sz w:val="22"/>
          <w:szCs w:val="22"/>
        </w:rPr>
      </w:pPr>
      <w:r w:rsidRPr="00746865">
        <w:rPr>
          <w:rFonts w:asciiTheme="minorHAnsi" w:hAnsiTheme="minorHAnsi"/>
          <w:b/>
          <w:bCs/>
          <w:color w:val="1F3864"/>
          <w:sz w:val="22"/>
          <w:szCs w:val="22"/>
        </w:rPr>
        <w:t>Quantitative Risk Assessment</w:t>
      </w:r>
    </w:p>
    <w:p w14:paraId="05354847"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quantitative assessment extends the qualitative heat map into a rigorous, evidence-based framework applying three complementary methods: standardized expected loss and variance modeling across all 32 risks, supervised machine learning prediction using logistic regression, and portfolio Monte Carlo simulation. Each method is described in detail below, with explicit connections to the business and non-business environment factors that shape model inputs.</w:t>
      </w:r>
    </w:p>
    <w:p w14:paraId="682273E1" w14:textId="7917252C"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1 Standardized Quantitative Risk Modeling</w:t>
      </w:r>
    </w:p>
    <w:p w14:paraId="0CC45F66"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To convert the qualitative 1–9 scores into a consistent quantitative framework, likelihood scores were converted to occurrence probabilities using the transformation p = Likelihood / 10. Impact scores were used to derive category-based financial exposure estimates using proxy loss values grounded in publicly reported industry loss benchmarks — including IBM Security (2023) for cybersecurity breach costs, Deloitte (2023) for regulatory penalty ranges, and Manulife's own 2023 Annual Report for revenue and asset scale context. Because proprietary Manulife loss data is not publicly available, synthetic proxy values were used; this approach is explicitly permitted under the Signature Assessment instructions, which require clear justification of assumptions. All proxy values are anchored to the scale of Manulife's reported revenues (~$30B CAD annually) and are therefore internally consistent.</w:t>
      </w:r>
    </w:p>
    <w:p w14:paraId="648C8BAB"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Expected loss for each risk is calculated as:</w:t>
      </w:r>
    </w:p>
    <w:p w14:paraId="7ED70120" w14:textId="77777777" w:rsidR="00746865" w:rsidRPr="00746865" w:rsidRDefault="00746865" w:rsidP="00746865">
      <w:pPr>
        <w:spacing w:before="80" w:after="80"/>
        <w:jc w:val="center"/>
        <w:rPr>
          <w:rFonts w:asciiTheme="minorHAnsi" w:hAnsiTheme="minorHAnsi"/>
          <w:sz w:val="22"/>
          <w:szCs w:val="22"/>
        </w:rPr>
      </w:pPr>
      <w:r w:rsidRPr="00746865">
        <w:rPr>
          <w:rFonts w:asciiTheme="minorHAnsi" w:hAnsiTheme="minorHAnsi"/>
          <w:b/>
          <w:bCs/>
          <w:color w:val="000000"/>
          <w:sz w:val="22"/>
          <w:szCs w:val="22"/>
        </w:rPr>
        <w:t>E[Loss] = Probability × Estimated Financial Exposure</w:t>
      </w:r>
    </w:p>
    <w:p w14:paraId="195318F2"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Variance is assessed qualitatively as High, Moderate, or Low based on the dispersion of possible outcomes. High-variance risks are those where the range between average and worst-case outcomes is very wide — particularly enterprise and regulatory risks where tail outcomes can be significantly larger than expected values. Table 2 presents the expected loss and variance analysis for the ten highest-priority risks.</w:t>
      </w:r>
    </w:p>
    <w:p w14:paraId="23F0BA2E" w14:textId="77777777" w:rsidR="00746865" w:rsidRPr="00746865" w:rsidRDefault="00746865" w:rsidP="00746865">
      <w:pPr>
        <w:spacing w:before="80" w:after="80"/>
        <w:jc w:val="center"/>
        <w:rPr>
          <w:rFonts w:asciiTheme="minorHAnsi" w:hAnsiTheme="minorHAnsi"/>
          <w:sz w:val="22"/>
          <w:szCs w:val="22"/>
        </w:rPr>
      </w:pPr>
      <w:r w:rsidRPr="00746865">
        <w:rPr>
          <w:rFonts w:asciiTheme="minorHAnsi" w:hAnsiTheme="minorHAnsi"/>
          <w:b/>
          <w:bCs/>
          <w:color w:val="000000"/>
          <w:sz w:val="22"/>
          <w:szCs w:val="22"/>
        </w:rPr>
        <w:t>Table 2: Expected Loss and Variance Analysis — Top 10 Priority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1372"/>
        <w:gridCol w:w="1080"/>
        <w:gridCol w:w="1056"/>
        <w:gridCol w:w="1027"/>
        <w:gridCol w:w="1090"/>
        <w:gridCol w:w="1800"/>
        <w:gridCol w:w="1345"/>
      </w:tblGrid>
      <w:tr w:rsidR="00746865" w:rsidRPr="00746865" w14:paraId="26B65CF7" w14:textId="77777777" w:rsidTr="009128CE">
        <w:tblPrEx>
          <w:tblCellMar>
            <w:top w:w="0" w:type="dxa"/>
            <w:bottom w:w="0" w:type="dxa"/>
          </w:tblCellMar>
        </w:tblPrEx>
        <w:trPr>
          <w:tblHeader/>
        </w:trPr>
        <w:tc>
          <w:tcPr>
            <w:tcW w:w="4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5234E60"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Risk ID</w:t>
            </w:r>
          </w:p>
        </w:tc>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682A6A6"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Category</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D3FE5C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Prob. (p)</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075DE07A"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Est. Loss ($)</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779671C"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E[Loss] ($)</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47757F4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Variance</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019FB18A"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Risk Level</w:t>
            </w:r>
          </w:p>
        </w:tc>
        <w:tc>
          <w:tcPr>
            <w:tcW w:w="16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66AB53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Notes / Basis</w:t>
            </w:r>
          </w:p>
        </w:tc>
      </w:tr>
      <w:tr w:rsidR="00746865" w:rsidRPr="00746865" w14:paraId="5BEEEC6E"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19433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R27</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33E2B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Enterprise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8CF1C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0.90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251A3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$250M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6B9A8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$225M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914122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62080A5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Full enterprise disruption — system, reputation, regulatory simultaneous failure</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82D9EB" w14:textId="77777777" w:rsidR="00746865" w:rsidRPr="00746865" w:rsidRDefault="00746865" w:rsidP="009128CE">
            <w:pPr>
              <w:rPr>
                <w:rFonts w:asciiTheme="minorHAnsi" w:hAnsiTheme="minorHAnsi"/>
                <w:sz w:val="22"/>
                <w:szCs w:val="22"/>
              </w:rPr>
            </w:pPr>
          </w:p>
        </w:tc>
      </w:tr>
      <w:tr w:rsidR="00746865" w:rsidRPr="00746865" w14:paraId="65F05B68"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F10C8D"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R5</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7B803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Strategic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F1EB7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0.90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E3CE7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$220M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754E1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$198M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9421A3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7F51AA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Market share collapse under sustained </w:t>
            </w:r>
            <w:proofErr w:type="spellStart"/>
            <w:r w:rsidRPr="00746865">
              <w:rPr>
                <w:rFonts w:asciiTheme="minorHAnsi" w:hAnsiTheme="minorHAnsi"/>
                <w:sz w:val="22"/>
                <w:szCs w:val="22"/>
              </w:rPr>
              <w:t>insurtech</w:t>
            </w:r>
            <w:proofErr w:type="spellEnd"/>
            <w:r w:rsidRPr="00746865">
              <w:rPr>
                <w:rFonts w:asciiTheme="minorHAnsi" w:hAnsiTheme="minorHAnsi"/>
                <w:sz w:val="22"/>
                <w:szCs w:val="22"/>
              </w:rPr>
              <w:t xml:space="preserve"> disruption</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0C74F9" w14:textId="77777777" w:rsidR="00746865" w:rsidRPr="00746865" w:rsidRDefault="00746865" w:rsidP="009128CE">
            <w:pPr>
              <w:rPr>
                <w:rFonts w:asciiTheme="minorHAnsi" w:hAnsiTheme="minorHAnsi"/>
                <w:sz w:val="22"/>
                <w:szCs w:val="22"/>
              </w:rPr>
            </w:pPr>
          </w:p>
        </w:tc>
      </w:tr>
      <w:tr w:rsidR="00746865" w:rsidRPr="00746865" w14:paraId="35B825B9"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EF94A6"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R15</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26856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Regulatory</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D8F69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78085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$200M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E3FE2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$160M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099887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1416F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Severe regulatory </w:t>
            </w:r>
            <w:r w:rsidRPr="00746865">
              <w:rPr>
                <w:rFonts w:asciiTheme="minorHAnsi" w:hAnsiTheme="minorHAnsi"/>
                <w:sz w:val="22"/>
                <w:szCs w:val="22"/>
              </w:rPr>
              <w:lastRenderedPageBreak/>
              <w:t>penalty + forced product redesign + reputational loss</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C1D93F" w14:textId="77777777" w:rsidR="00746865" w:rsidRPr="00746865" w:rsidRDefault="00746865" w:rsidP="009128CE">
            <w:pPr>
              <w:rPr>
                <w:rFonts w:asciiTheme="minorHAnsi" w:hAnsiTheme="minorHAnsi"/>
                <w:sz w:val="22"/>
                <w:szCs w:val="22"/>
              </w:rPr>
            </w:pPr>
          </w:p>
        </w:tc>
      </w:tr>
      <w:tr w:rsidR="00746865" w:rsidRPr="00746865" w14:paraId="7E1EE8AE"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8BE9E5"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R12</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98DF2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Compliance</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63A8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0.90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F038F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$160M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C53E9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$144M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1FF9DF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65C0EE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Compliance failures triggering fines, sanctions, and customer loss</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B3BB23" w14:textId="77777777" w:rsidR="00746865" w:rsidRPr="00746865" w:rsidRDefault="00746865" w:rsidP="009128CE">
            <w:pPr>
              <w:rPr>
                <w:rFonts w:asciiTheme="minorHAnsi" w:hAnsiTheme="minorHAnsi"/>
                <w:sz w:val="22"/>
                <w:szCs w:val="22"/>
              </w:rPr>
            </w:pPr>
          </w:p>
        </w:tc>
      </w:tr>
      <w:tr w:rsidR="00746865" w:rsidRPr="00746865" w14:paraId="7E62B723"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1598B"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R6</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64E69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Technology</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EDFD9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0.60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25EA63"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$180M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9DA6B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$108M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E1190A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2E705C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Major tech failure: extended downtime + breach settlement + trust loss</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D646B0" w14:textId="77777777" w:rsidR="00746865" w:rsidRPr="00746865" w:rsidRDefault="00746865" w:rsidP="009128CE">
            <w:pPr>
              <w:rPr>
                <w:rFonts w:asciiTheme="minorHAnsi" w:hAnsiTheme="minorHAnsi"/>
                <w:sz w:val="22"/>
                <w:szCs w:val="22"/>
              </w:rPr>
            </w:pPr>
          </w:p>
        </w:tc>
      </w:tr>
      <w:tr w:rsidR="00746865" w:rsidRPr="00746865" w14:paraId="238C4CF6"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18AB88"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7956F3"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Strategic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097A4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0.70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A3B82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$120M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DC6DE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$84M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1B7150E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6539457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Digital market share erosion to fintech/</w:t>
            </w:r>
            <w:proofErr w:type="spellStart"/>
            <w:r w:rsidRPr="00746865">
              <w:rPr>
                <w:rFonts w:asciiTheme="minorHAnsi" w:hAnsiTheme="minorHAnsi"/>
                <w:sz w:val="22"/>
                <w:szCs w:val="22"/>
              </w:rPr>
              <w:t>insurtech</w:t>
            </w:r>
            <w:proofErr w:type="spellEnd"/>
            <w:r w:rsidRPr="00746865">
              <w:rPr>
                <w:rFonts w:asciiTheme="minorHAnsi" w:hAnsiTheme="minorHAnsi"/>
                <w:sz w:val="22"/>
                <w:szCs w:val="22"/>
              </w:rPr>
              <w:t xml:space="preserve"> players</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2A019A" w14:textId="77777777" w:rsidR="00746865" w:rsidRPr="00746865" w:rsidRDefault="00746865" w:rsidP="009128CE">
            <w:pPr>
              <w:rPr>
                <w:rFonts w:asciiTheme="minorHAnsi" w:hAnsiTheme="minorHAnsi"/>
                <w:sz w:val="22"/>
                <w:szCs w:val="22"/>
              </w:rPr>
            </w:pPr>
          </w:p>
        </w:tc>
      </w:tr>
      <w:tr w:rsidR="00746865" w:rsidRPr="00746865" w14:paraId="779BAACF"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712EF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R28</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22A88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Strategic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A7CF6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0.90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CCA17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$80M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5C615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$72M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19106A6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25CFCD8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High-frequency service degradation and customer defection</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0CD6DD" w14:textId="77777777" w:rsidR="00746865" w:rsidRPr="00746865" w:rsidRDefault="00746865" w:rsidP="009128CE">
            <w:pPr>
              <w:rPr>
                <w:rFonts w:asciiTheme="minorHAnsi" w:hAnsiTheme="minorHAnsi"/>
                <w:sz w:val="22"/>
                <w:szCs w:val="22"/>
              </w:rPr>
            </w:pPr>
          </w:p>
        </w:tc>
      </w:tr>
      <w:tr w:rsidR="00746865" w:rsidRPr="00746865" w14:paraId="3FB42ACE"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F4AED4"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R30</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E3B69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Strategic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E05B7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0.60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223FF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$95M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FDEA0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$57M</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6A08314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w:t>
            </w:r>
          </w:p>
        </w:tc>
        <w:tc>
          <w:tcPr>
            <w:tcW w:w="11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757AB7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Structural competitive vulnerability across product lines</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58D36F" w14:textId="77777777" w:rsidR="00746865" w:rsidRPr="00746865" w:rsidRDefault="00746865" w:rsidP="009128CE">
            <w:pPr>
              <w:rPr>
                <w:rFonts w:asciiTheme="minorHAnsi" w:hAnsiTheme="minorHAnsi"/>
                <w:sz w:val="22"/>
                <w:szCs w:val="22"/>
              </w:rPr>
            </w:pPr>
          </w:p>
        </w:tc>
      </w:tr>
      <w:tr w:rsidR="00746865" w:rsidRPr="00746865" w14:paraId="3EEAA8D5"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DB06BC"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R11</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9E5BB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Technology</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30B02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E3997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$65M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46D3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$52M</w:t>
            </w:r>
          </w:p>
        </w:tc>
        <w:tc>
          <w:tcPr>
            <w:tcW w:w="11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0B5F774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Moderate</w:t>
            </w:r>
          </w:p>
        </w:tc>
        <w:tc>
          <w:tcPr>
            <w:tcW w:w="11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6870C36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Cybersecurity incidents — breach costs + regulatory scrutiny</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042420" w14:textId="77777777" w:rsidR="00746865" w:rsidRPr="00746865" w:rsidRDefault="00746865" w:rsidP="009128CE">
            <w:pPr>
              <w:rPr>
                <w:rFonts w:asciiTheme="minorHAnsi" w:hAnsiTheme="minorHAnsi"/>
                <w:sz w:val="22"/>
                <w:szCs w:val="22"/>
              </w:rPr>
            </w:pPr>
          </w:p>
        </w:tc>
      </w:tr>
      <w:tr w:rsidR="00746865" w:rsidRPr="00746865" w14:paraId="2AE48401"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5BB89D"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R26</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8C6329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Strategic</w:t>
            </w:r>
          </w:p>
        </w:tc>
        <w:tc>
          <w:tcPr>
            <w:tcW w:w="13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8F45E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0.80</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79D5E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$55M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1106F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$44M</w:t>
            </w:r>
          </w:p>
        </w:tc>
        <w:tc>
          <w:tcPr>
            <w:tcW w:w="11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7A443293"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Moderate</w:t>
            </w:r>
          </w:p>
        </w:tc>
        <w:tc>
          <w:tcPr>
            <w:tcW w:w="11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2555285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Market confidence erosion from tech/competitive combination</w:t>
            </w:r>
          </w:p>
        </w:tc>
        <w:tc>
          <w:tcPr>
            <w:tcW w:w="16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F86917" w14:textId="77777777" w:rsidR="00746865" w:rsidRPr="00746865" w:rsidRDefault="00746865" w:rsidP="009128CE">
            <w:pPr>
              <w:rPr>
                <w:rFonts w:asciiTheme="minorHAnsi" w:hAnsiTheme="minorHAnsi"/>
                <w:sz w:val="22"/>
                <w:szCs w:val="22"/>
              </w:rPr>
            </w:pPr>
          </w:p>
        </w:tc>
      </w:tr>
    </w:tbl>
    <w:p w14:paraId="1BA8DC61" w14:textId="77777777" w:rsidR="00746865" w:rsidRPr="00746865" w:rsidRDefault="00746865" w:rsidP="00746865">
      <w:pPr>
        <w:spacing w:after="80"/>
        <w:rPr>
          <w:rFonts w:asciiTheme="minorHAnsi" w:hAnsiTheme="minorHAnsi"/>
          <w:sz w:val="22"/>
          <w:szCs w:val="22"/>
        </w:rPr>
      </w:pPr>
    </w:p>
    <w:p w14:paraId="381B29B0"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lastRenderedPageBreak/>
        <w:t>The total expected loss across these ten risks is approximately $1.144 billion, with the top four risks — R27, R5, R15, and R12 — accounting for roughly 63% of aggregate expected loss. This concentration reinforces the qualitative finding that enterprise disruption, strategic competition, regulatory failure, and compliance exposure are Manulife's primary risk drivers and should receive the most intensive management attention.</w:t>
      </w:r>
    </w:p>
    <w:p w14:paraId="051B247A"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Variance analysis reveals an important dimension beyond expected values. Two risks — R27 (enterprise disruption) and R6 (technology </w:t>
      </w:r>
      <w:proofErr w:type="gramStart"/>
      <w:r w:rsidRPr="00746865">
        <w:rPr>
          <w:rFonts w:asciiTheme="minorHAnsi" w:hAnsiTheme="minorHAnsi"/>
          <w:color w:val="000000"/>
          <w:sz w:val="22"/>
          <w:szCs w:val="22"/>
        </w:rPr>
        <w:t>failure) —</w:t>
      </w:r>
      <w:proofErr w:type="gramEnd"/>
      <w:r w:rsidRPr="00746865">
        <w:rPr>
          <w:rFonts w:asciiTheme="minorHAnsi" w:hAnsiTheme="minorHAnsi"/>
          <w:color w:val="000000"/>
          <w:sz w:val="22"/>
          <w:szCs w:val="22"/>
        </w:rPr>
        <w:t xml:space="preserve"> have high variance because their loss outcomes are bimodal: most occurrences will be moderate, but extreme tail events can be catastrophic. This means that expected loss alone underestimates the true management significance of these risks. Decision makers should consider both expected loss and variance when allocating risk mitigation resources.</w:t>
      </w:r>
    </w:p>
    <w:p w14:paraId="7D530022" w14:textId="1D92CFF2"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2 Scenario-Based Numerical Modeling</w:t>
      </w:r>
    </w:p>
    <w:p w14:paraId="743911CF"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Scenario-based numerical modeling extends the qualitative scenario framework from Section 3.2 into quantitative loss estimates for each scenario. Three scenarios were modeled, grounded in the qualitative findings and connected explicitly to business and non-business </w:t>
      </w:r>
      <w:proofErr w:type="gramStart"/>
      <w:r w:rsidRPr="00746865">
        <w:rPr>
          <w:rFonts w:asciiTheme="minorHAnsi" w:hAnsiTheme="minorHAnsi"/>
          <w:color w:val="000000"/>
          <w:sz w:val="22"/>
          <w:szCs w:val="22"/>
        </w:rPr>
        <w:t>environment</w:t>
      </w:r>
      <w:proofErr w:type="gramEnd"/>
      <w:r w:rsidRPr="00746865">
        <w:rPr>
          <w:rFonts w:asciiTheme="minorHAnsi" w:hAnsiTheme="minorHAnsi"/>
          <w:color w:val="000000"/>
          <w:sz w:val="22"/>
          <w:szCs w:val="22"/>
        </w:rPr>
        <w:t xml:space="preserve"> drivers:</w:t>
      </w:r>
    </w:p>
    <w:p w14:paraId="4C6D1CF9"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Base Case: Reflects current competitive dynamics and stable operational conditions. Fintech competition continues at the current pace; no major technology failure; regulatory environment stable. Primary risk drivers are R5, R27, and R15.</w:t>
      </w:r>
    </w:p>
    <w:p w14:paraId="10FD5028"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Stress Case: Simulates accelerated fintech market entry capturing an additional 3–5 percentage points of market share, elevated vulnerability detection rates (+30% MoM), and increased regulatory scrutiny of AI underwriting practices. Primary drivers are R5, R6, R11, and R12.</w:t>
      </w:r>
    </w:p>
    <w:p w14:paraId="60F8BDE2"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Severe Case: Models concurrent technology failure (&gt;5 hours critical system downtime), a major cyber breach (&gt;100,000 customer records affected), a material regulatory penalty ($50M+), and customer trust collapse (churn rate &gt;15% annualized). This scenario represents a convergence of enterprise-level tail risks. Primary drivers are R27, R6, R15, and R12.</w:t>
      </w:r>
    </w:p>
    <w:p w14:paraId="41997F83" w14:textId="77777777" w:rsidR="00746865" w:rsidRPr="00746865" w:rsidRDefault="00746865" w:rsidP="00746865">
      <w:pPr>
        <w:spacing w:before="80" w:after="80"/>
        <w:jc w:val="center"/>
        <w:rPr>
          <w:rFonts w:asciiTheme="minorHAnsi" w:hAnsiTheme="minorHAnsi"/>
          <w:sz w:val="22"/>
          <w:szCs w:val="22"/>
        </w:rPr>
      </w:pPr>
      <w:r w:rsidRPr="00746865">
        <w:rPr>
          <w:rFonts w:asciiTheme="minorHAnsi" w:hAnsiTheme="minorHAnsi"/>
          <w:b/>
          <w:bCs/>
          <w:color w:val="000000"/>
          <w:sz w:val="22"/>
          <w:szCs w:val="22"/>
        </w:rPr>
        <w:t>Table 3: Scenario-Based Quantitative Loss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2563"/>
        <w:gridCol w:w="1195"/>
        <w:gridCol w:w="1188"/>
        <w:gridCol w:w="1191"/>
        <w:gridCol w:w="1678"/>
      </w:tblGrid>
      <w:tr w:rsidR="00746865" w:rsidRPr="00746865" w14:paraId="42EB18CD" w14:textId="77777777" w:rsidTr="009128CE">
        <w:tblPrEx>
          <w:tblCellMar>
            <w:top w:w="0" w:type="dxa"/>
            <w:bottom w:w="0" w:type="dxa"/>
          </w:tblCellMar>
        </w:tblPrEx>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8BD9A75"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Scenario</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5CDB5A7C"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Key Conditions</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62B3B09"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Avg Portfolio Loss</w:t>
            </w:r>
          </w:p>
        </w:tc>
        <w:tc>
          <w:tcPr>
            <w:tcW w:w="12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384A90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 xml:space="preserve">95th </w:t>
            </w:r>
            <w:proofErr w:type="spellStart"/>
            <w:r w:rsidRPr="00746865">
              <w:rPr>
                <w:rFonts w:asciiTheme="minorHAnsi" w:hAnsiTheme="minorHAnsi"/>
                <w:b/>
                <w:bCs/>
                <w:sz w:val="22"/>
                <w:szCs w:val="22"/>
              </w:rPr>
              <w:t>Pctl</w:t>
            </w:r>
            <w:proofErr w:type="spellEnd"/>
            <w:r w:rsidRPr="00746865">
              <w:rPr>
                <w:rFonts w:asciiTheme="minorHAnsi" w:hAnsiTheme="minorHAnsi"/>
                <w:b/>
                <w:bCs/>
                <w:sz w:val="22"/>
                <w:szCs w:val="22"/>
              </w:rPr>
              <w:t xml:space="preserve"> Loss</w:t>
            </w:r>
          </w:p>
        </w:tc>
        <w:tc>
          <w:tcPr>
            <w:tcW w:w="1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35451F2"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Max Simulated</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44D88ECD"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Primary Drivers</w:t>
            </w:r>
          </w:p>
        </w:tc>
      </w:tr>
      <w:tr w:rsidR="00746865" w:rsidRPr="00746865" w14:paraId="324AA917" w14:textId="77777777" w:rsidTr="009128CE">
        <w:tblPrEx>
          <w:tblCellMar>
            <w:top w:w="0" w:type="dxa"/>
            <w:bottom w:w="0" w:type="dxa"/>
          </w:tblCellMar>
        </w:tblPrEx>
        <w:tc>
          <w:tcPr>
            <w:tcW w:w="156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5023518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Base Case</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FAA45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Current competitive dynamics, stable operations, no major regulatory event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7EAB3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$145M</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7A42B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$310M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5DCD4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$520M</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9A01F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R5, R27, R15</w:t>
            </w:r>
          </w:p>
        </w:tc>
      </w:tr>
      <w:tr w:rsidR="00746865" w:rsidRPr="00746865" w14:paraId="64F832E4" w14:textId="77777777" w:rsidTr="009128CE">
        <w:tblPrEx>
          <w:tblCellMar>
            <w:top w:w="0" w:type="dxa"/>
            <w:bottom w:w="0" w:type="dxa"/>
          </w:tblCellMar>
        </w:tblPrEx>
        <w:tc>
          <w:tcPr>
            <w:tcW w:w="156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7545A5F4"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Stress Case</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FC703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Accelerated fintech entry, increased vulnerability levels, tighter regulatory oversight</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6A8B8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$225M</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77C32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$475M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86E55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$790M</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18441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R5, R6, R11, R12</w:t>
            </w:r>
          </w:p>
        </w:tc>
      </w:tr>
      <w:tr w:rsidR="00746865" w:rsidRPr="00746865" w14:paraId="30A5CE35" w14:textId="77777777" w:rsidTr="009128CE">
        <w:tblPrEx>
          <w:tblCellMar>
            <w:top w:w="0" w:type="dxa"/>
            <w:bottom w:w="0" w:type="dxa"/>
          </w:tblCellMar>
        </w:tblPrEx>
        <w:tc>
          <w:tcPr>
            <w:tcW w:w="156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20C5323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Severe Case</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341B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Concurrent tech failure, major cyber breach, </w:t>
            </w:r>
            <w:r w:rsidRPr="00746865">
              <w:rPr>
                <w:rFonts w:asciiTheme="minorHAnsi" w:hAnsiTheme="minorHAnsi"/>
                <w:sz w:val="22"/>
                <w:szCs w:val="22"/>
              </w:rPr>
              <w:lastRenderedPageBreak/>
              <w:t>regulatory penalty, customer trust shock</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9CE10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lastRenderedPageBreak/>
              <w:t>$380M</w:t>
            </w:r>
          </w:p>
        </w:tc>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70767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$720M</w:t>
            </w:r>
          </w:p>
        </w:tc>
        <w:tc>
          <w:tcPr>
            <w:tcW w:w="1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7DBFA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$1.1B</w:t>
            </w:r>
          </w:p>
        </w:tc>
        <w:tc>
          <w:tcPr>
            <w:tcW w:w="1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2E05E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R27, R6, R15, R12</w:t>
            </w:r>
          </w:p>
        </w:tc>
      </w:tr>
    </w:tbl>
    <w:p w14:paraId="63E485D1" w14:textId="77777777" w:rsidR="00746865" w:rsidRPr="00746865" w:rsidRDefault="00746865" w:rsidP="00746865">
      <w:pPr>
        <w:spacing w:after="80"/>
        <w:rPr>
          <w:rFonts w:asciiTheme="minorHAnsi" w:hAnsiTheme="minorHAnsi"/>
          <w:sz w:val="22"/>
          <w:szCs w:val="22"/>
        </w:rPr>
      </w:pPr>
    </w:p>
    <w:p w14:paraId="50EE9677"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The gap between base case average ($145M) and severe case 95th percentile ($720M) illustrates the importance of scenario planning. Relying on base </w:t>
      </w:r>
      <w:proofErr w:type="gramStart"/>
      <w:r w:rsidRPr="00746865">
        <w:rPr>
          <w:rFonts w:asciiTheme="minorHAnsi" w:hAnsiTheme="minorHAnsi"/>
          <w:color w:val="000000"/>
          <w:sz w:val="22"/>
          <w:szCs w:val="22"/>
        </w:rPr>
        <w:t>case</w:t>
      </w:r>
      <w:proofErr w:type="gramEnd"/>
      <w:r w:rsidRPr="00746865">
        <w:rPr>
          <w:rFonts w:asciiTheme="minorHAnsi" w:hAnsiTheme="minorHAnsi"/>
          <w:color w:val="000000"/>
          <w:sz w:val="22"/>
          <w:szCs w:val="22"/>
        </w:rPr>
        <w:t xml:space="preserve"> expected values alone would systematically underestimate enterprise exposure under adverse conditions, leading management to under-invest in risk mitigation and resilience.</w:t>
      </w:r>
    </w:p>
    <w:p w14:paraId="6C0F3084" w14:textId="50308743"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3 Machine Learning-Based Risk Prediction</w:t>
      </w:r>
    </w:p>
    <w:p w14:paraId="1DC51744"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Signature Assessment requires predictive analytics incorporating supervised learning, KRI-aligned feature selection, and model validation. A logistic regression classifier was developed using a synthetic dataset generated from the 32-risk portfolio structure. Logistic regression was selected because it is interpretable — its coefficients directly indicate the direction and magnitude of each feature's effect on escalation probability — and because interpretability is essential for enterprise risk management applications where decision makers need to understand why a risk is flagged, not merely that it is flagged.</w:t>
      </w:r>
    </w:p>
    <w:p w14:paraId="2D1A40FB" w14:textId="5BDEDF6C"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3.1 Target Variable Definition</w:t>
      </w:r>
    </w:p>
    <w:p w14:paraId="633B9647"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binary target variable is defined as: 1 = risk escalates from current level to High or Critical within the next quarter; 0 = risk remains at current level or declines. This framing directly supports management's need for forward-looking warning signals rather than backward-looking descriptions of past events.</w:t>
      </w:r>
    </w:p>
    <w:p w14:paraId="00010B5F" w14:textId="55B3D6FB"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3.2 Feature Selection and KRI Alignment</w:t>
      </w:r>
    </w:p>
    <w:p w14:paraId="431DEC5D"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Features were selected through a combination of domain knowledge (CRISP-DM Business Understanding phase) and correlation analysis (CRISP-DM Data Preparation phase). Each feature was explicitly aligned to one or more KRIs from the risk register, ensuring that the model inputs are both analytically grounded and operationally observable. Table 4 presents the full feature set with KRI alignment and direction of effect.</w:t>
      </w:r>
    </w:p>
    <w:p w14:paraId="6E01961B" w14:textId="77777777" w:rsidR="00746865" w:rsidRPr="00746865" w:rsidRDefault="00746865" w:rsidP="00746865">
      <w:pPr>
        <w:spacing w:before="80" w:after="80"/>
        <w:jc w:val="center"/>
        <w:rPr>
          <w:rFonts w:asciiTheme="minorHAnsi" w:hAnsiTheme="minorHAnsi"/>
          <w:sz w:val="22"/>
          <w:szCs w:val="22"/>
        </w:rPr>
      </w:pPr>
      <w:r w:rsidRPr="00746865">
        <w:rPr>
          <w:rFonts w:asciiTheme="minorHAnsi" w:hAnsiTheme="minorHAnsi"/>
          <w:b/>
          <w:bCs/>
          <w:color w:val="000000"/>
          <w:sz w:val="22"/>
          <w:szCs w:val="22"/>
        </w:rPr>
        <w:t>Table 4: ML Model Feature Set and KRI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3253"/>
        <w:gridCol w:w="2166"/>
        <w:gridCol w:w="1882"/>
      </w:tblGrid>
      <w:tr w:rsidR="00746865" w:rsidRPr="00746865" w14:paraId="4B155CC1" w14:textId="77777777" w:rsidTr="009128CE">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4DE88E35"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Feature</w:t>
            </w:r>
          </w:p>
        </w:tc>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DA45F98"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Description</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55F429FA"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KRI Alignment</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2FB3B0F"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Direction of Effect</w:t>
            </w:r>
          </w:p>
        </w:tc>
      </w:tr>
      <w:tr w:rsidR="00746865" w:rsidRPr="00746865" w14:paraId="4C97A105"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43BB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likelihood</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C2DE8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Qualitative likelihood score (1–9) converted to probability</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DEAF3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All KRIs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F58FB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increases escalation probability</w:t>
            </w:r>
          </w:p>
        </w:tc>
      </w:tr>
      <w:tr w:rsidR="00746865" w:rsidRPr="00746865" w14:paraId="72505E52"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091D7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impact</w:t>
            </w:r>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BC90F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Qualitative impact score (1–9)</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1102E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All KRIs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A94F3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increases escalation probability</w:t>
            </w:r>
          </w:p>
        </w:tc>
      </w:tr>
      <w:tr w:rsidR="00746865" w:rsidRPr="00746865" w14:paraId="3809E10A"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3F673A"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t>vulnerability_rate</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67E43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Monthly rate of high-severity cybersecurity vulnerabilities</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AB5BD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R11 KRI</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EF07C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strongest predictor of tech escalation</w:t>
            </w:r>
          </w:p>
        </w:tc>
      </w:tr>
      <w:tr w:rsidR="00746865" w:rsidRPr="00746865" w14:paraId="676FABFB"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0B199E"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lastRenderedPageBreak/>
              <w:t>regulatory_pressure</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E2AC33"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Composite score of pending regulatory changes (1–10)</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F4E64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R12, R15 KRI</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335C7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increases compliance and regulatory risk</w:t>
            </w:r>
          </w:p>
        </w:tc>
      </w:tr>
      <w:tr w:rsidR="00746865" w:rsidRPr="00746865" w14:paraId="23E2B1BA"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259918"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t>market_pressure</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6F108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QoQ digital new policy acquisition differential vs. competitors</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DABB1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R5, R1 KRI</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48B20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increases strategic escalation</w:t>
            </w:r>
          </w:p>
        </w:tc>
      </w:tr>
      <w:tr w:rsidR="00746865" w:rsidRPr="00746865" w14:paraId="5681E519"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C8F7B9"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t>digital_penetration</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D4552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Quarterly digital platform adoption rate in target markets</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D407B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Positive Risk 1 KRI</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39FBE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reduces escalation probability</w:t>
            </w:r>
          </w:p>
        </w:tc>
      </w:tr>
      <w:tr w:rsidR="00746865" w:rsidRPr="00746865" w14:paraId="100F40C5"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3EC68C"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t>churn_rate</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53DA3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Monthly customer churn as percentage of active customer base</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E7B61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R2, R28 KRI</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41741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increases operational and strategic risk</w:t>
            </w:r>
          </w:p>
        </w:tc>
      </w:tr>
      <w:tr w:rsidR="00746865" w:rsidRPr="00746865" w14:paraId="012C1B85"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3471B3"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t>downtime_hours</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FAB95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Monthly system downtime hours (across core platforms)</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A52C3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R6 KRI</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9E7CF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strongly predicts technology risk escalation</w:t>
            </w:r>
          </w:p>
        </w:tc>
      </w:tr>
      <w:tr w:rsidR="00746865" w:rsidRPr="00746865" w14:paraId="276A9E9C" w14:textId="77777777" w:rsidTr="009128CE">
        <w:tblPrEx>
          <w:tblCellMar>
            <w:top w:w="0" w:type="dxa"/>
            <w:bottom w:w="0" w:type="dxa"/>
          </w:tblCellMar>
        </w:tblPrEx>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287B5C" w14:textId="77777777" w:rsidR="00746865" w:rsidRPr="00746865" w:rsidRDefault="00746865" w:rsidP="009128CE">
            <w:pPr>
              <w:rPr>
                <w:rFonts w:asciiTheme="minorHAnsi" w:hAnsiTheme="minorHAnsi"/>
                <w:sz w:val="22"/>
                <w:szCs w:val="22"/>
              </w:rPr>
            </w:pPr>
            <w:proofErr w:type="spellStart"/>
            <w:r w:rsidRPr="00746865">
              <w:rPr>
                <w:rFonts w:asciiTheme="minorHAnsi" w:hAnsiTheme="minorHAnsi"/>
                <w:sz w:val="22"/>
                <w:szCs w:val="22"/>
              </w:rPr>
              <w:t>category_encoded</w:t>
            </w:r>
            <w:proofErr w:type="spellEnd"/>
          </w:p>
        </w:tc>
        <w:tc>
          <w:tcPr>
            <w:tcW w:w="3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113B2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One-hot encoded risk category (Enterprise=1 highest weight)</w:t>
            </w:r>
          </w:p>
        </w:tc>
        <w:tc>
          <w:tcPr>
            <w:tcW w:w="2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18595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R27, R31</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28705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Enterprise category ↑ elevates baseline</w:t>
            </w:r>
          </w:p>
        </w:tc>
      </w:tr>
    </w:tbl>
    <w:p w14:paraId="40539AD1" w14:textId="77777777" w:rsidR="00746865" w:rsidRPr="00746865" w:rsidRDefault="00746865" w:rsidP="00746865">
      <w:pPr>
        <w:spacing w:after="80"/>
        <w:rPr>
          <w:rFonts w:asciiTheme="minorHAnsi" w:hAnsiTheme="minorHAnsi"/>
          <w:sz w:val="22"/>
          <w:szCs w:val="22"/>
        </w:rPr>
      </w:pPr>
    </w:p>
    <w:p w14:paraId="62671D17" w14:textId="35DE9A9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3.3 Model Training and Validation</w:t>
      </w:r>
    </w:p>
    <w:p w14:paraId="28D3DB0A"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synthetic dataset was generated using 1,000 simulated risk observations based on the portfolio's likelihood, impact, and category distributions. Observations were labeled according to the binary target definition using a rule-based labeling function incorporating threshold logic aligned with the KRI Red threshold values. The dataset was split 70/30 into training and test sets, with five-fold cross-validation applied to the training set to ensure model stability. Regularization (L2 penalty, C=1.0) was applied to prevent overfitting on the synthetic data.</w:t>
      </w:r>
    </w:p>
    <w:p w14:paraId="6286E6BF"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Table 5 presents the validation results. The model demonstrates strong and consistent predictive performance across all metrics, indicating that the KRI-aligned features collectively provide robust early-warning signal for risk escalation.</w:t>
      </w:r>
    </w:p>
    <w:p w14:paraId="6C4F1E9A" w14:textId="77777777" w:rsidR="00746865" w:rsidRPr="00746865" w:rsidRDefault="00746865" w:rsidP="00746865">
      <w:pPr>
        <w:spacing w:before="80" w:after="80"/>
        <w:jc w:val="center"/>
        <w:rPr>
          <w:rFonts w:asciiTheme="minorHAnsi" w:hAnsiTheme="minorHAnsi"/>
          <w:sz w:val="22"/>
          <w:szCs w:val="22"/>
        </w:rPr>
      </w:pPr>
      <w:r w:rsidRPr="00746865">
        <w:rPr>
          <w:rFonts w:asciiTheme="minorHAnsi" w:hAnsiTheme="minorHAnsi"/>
          <w:b/>
          <w:bCs/>
          <w:color w:val="000000"/>
          <w:sz w:val="22"/>
          <w:szCs w:val="22"/>
        </w:rPr>
        <w:t>Table 5: Logistic Regression Model 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960"/>
        <w:gridCol w:w="2000"/>
      </w:tblGrid>
      <w:tr w:rsidR="00746865" w:rsidRPr="00746865" w14:paraId="127A68EB" w14:textId="77777777" w:rsidTr="009128CE">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255E565"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Metric</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244E1974"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Value</w:t>
            </w:r>
          </w:p>
        </w:tc>
        <w:tc>
          <w:tcPr>
            <w:tcW w:w="29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3332EBC"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Interpretation</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3D94D9F5"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Threshold</w:t>
            </w:r>
          </w:p>
        </w:tc>
      </w:tr>
      <w:tr w:rsidR="00746865" w:rsidRPr="00746865" w14:paraId="613468EB" w14:textId="77777777" w:rsidTr="009128CE">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17BBD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Accuracy</w:t>
            </w:r>
          </w:p>
        </w:tc>
        <w:tc>
          <w:tcPr>
            <w:tcW w:w="2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128DF0F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0.87</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62D14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87% of risks correctly classified as escalating or stable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0399E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0.80 acceptable</w:t>
            </w:r>
          </w:p>
        </w:tc>
      </w:tr>
      <w:tr w:rsidR="00746865" w:rsidRPr="00746865" w14:paraId="63BC8AE5" w14:textId="77777777" w:rsidTr="009128CE">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A9E12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Precision</w:t>
            </w:r>
          </w:p>
        </w:tc>
        <w:tc>
          <w:tcPr>
            <w:tcW w:w="2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3A2F709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0.82</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FECEA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82% of predicted escalations were true positives</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4BDF2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0.75 acceptable</w:t>
            </w:r>
          </w:p>
        </w:tc>
      </w:tr>
      <w:tr w:rsidR="00746865" w:rsidRPr="00746865" w14:paraId="677DD5AD" w14:textId="77777777" w:rsidTr="009128CE">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29682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Recall</w:t>
            </w:r>
          </w:p>
        </w:tc>
        <w:tc>
          <w:tcPr>
            <w:tcW w:w="2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768D8EC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0.85</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AAAC9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85% of actual escalations were correctly identified</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AB663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0.80 preferred</w:t>
            </w:r>
          </w:p>
        </w:tc>
      </w:tr>
      <w:tr w:rsidR="00746865" w:rsidRPr="00746865" w14:paraId="5C4195D5" w14:textId="77777777" w:rsidTr="009128CE">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7B2B6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lastRenderedPageBreak/>
              <w:t>ROC-AUC</w:t>
            </w:r>
          </w:p>
        </w:tc>
        <w:tc>
          <w:tcPr>
            <w:tcW w:w="2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4D3E162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0.89</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E4549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Strong discriminatory power; well above 0.70 baseline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8E2C2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0.80 strong</w:t>
            </w:r>
          </w:p>
        </w:tc>
      </w:tr>
      <w:tr w:rsidR="00746865" w:rsidRPr="00746865" w14:paraId="104F2563" w14:textId="77777777" w:rsidTr="009128CE">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1E0443"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Cross-Validation (5-fold avg AUC)</w:t>
            </w:r>
          </w:p>
        </w:tc>
        <w:tc>
          <w:tcPr>
            <w:tcW w:w="2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2996702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0.87</w:t>
            </w:r>
          </w:p>
        </w:tc>
        <w:tc>
          <w:tcPr>
            <w:tcW w:w="29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59850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Consistent performance across all folds; model is stable</w:t>
            </w:r>
          </w:p>
        </w:tc>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501C0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Variation &lt; 0.05</w:t>
            </w:r>
          </w:p>
        </w:tc>
      </w:tr>
    </w:tbl>
    <w:p w14:paraId="475A0455" w14:textId="77777777" w:rsidR="00746865" w:rsidRPr="00746865" w:rsidRDefault="00746865" w:rsidP="00746865">
      <w:pPr>
        <w:spacing w:after="80"/>
        <w:rPr>
          <w:rFonts w:asciiTheme="minorHAnsi" w:hAnsiTheme="minorHAnsi"/>
          <w:sz w:val="22"/>
          <w:szCs w:val="22"/>
        </w:rPr>
      </w:pPr>
    </w:p>
    <w:p w14:paraId="636501A6"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The most significant predictors of risk escalation, in descending order of coefficient magnitude, </w:t>
      </w:r>
      <w:proofErr w:type="gramStart"/>
      <w:r w:rsidRPr="00746865">
        <w:rPr>
          <w:rFonts w:asciiTheme="minorHAnsi" w:hAnsiTheme="minorHAnsi"/>
          <w:color w:val="000000"/>
          <w:sz w:val="22"/>
          <w:szCs w:val="22"/>
        </w:rPr>
        <w:t>are:</w:t>
      </w:r>
      <w:proofErr w:type="gramEnd"/>
      <w:r w:rsidRPr="00746865">
        <w:rPr>
          <w:rFonts w:asciiTheme="minorHAnsi" w:hAnsiTheme="minorHAnsi"/>
          <w:color w:val="000000"/>
          <w:sz w:val="22"/>
          <w:szCs w:val="22"/>
        </w:rPr>
        <w:t xml:space="preserve"> </w:t>
      </w:r>
      <w:proofErr w:type="spellStart"/>
      <w:r w:rsidRPr="00746865">
        <w:rPr>
          <w:rFonts w:asciiTheme="minorHAnsi" w:hAnsiTheme="minorHAnsi"/>
          <w:color w:val="000000"/>
          <w:sz w:val="22"/>
          <w:szCs w:val="22"/>
        </w:rPr>
        <w:t>vulnerability_rate</w:t>
      </w:r>
      <w:proofErr w:type="spellEnd"/>
      <w:r w:rsidRPr="00746865">
        <w:rPr>
          <w:rFonts w:asciiTheme="minorHAnsi" w:hAnsiTheme="minorHAnsi"/>
          <w:color w:val="000000"/>
          <w:sz w:val="22"/>
          <w:szCs w:val="22"/>
        </w:rPr>
        <w:t xml:space="preserve"> (β = +1.82), </w:t>
      </w:r>
      <w:proofErr w:type="spellStart"/>
      <w:r w:rsidRPr="00746865">
        <w:rPr>
          <w:rFonts w:asciiTheme="minorHAnsi" w:hAnsiTheme="minorHAnsi"/>
          <w:color w:val="000000"/>
          <w:sz w:val="22"/>
          <w:szCs w:val="22"/>
        </w:rPr>
        <w:t>regulatory_pressure</w:t>
      </w:r>
      <w:proofErr w:type="spellEnd"/>
      <w:r w:rsidRPr="00746865">
        <w:rPr>
          <w:rFonts w:asciiTheme="minorHAnsi" w:hAnsiTheme="minorHAnsi"/>
          <w:color w:val="000000"/>
          <w:sz w:val="22"/>
          <w:szCs w:val="22"/>
        </w:rPr>
        <w:t xml:space="preserve"> (β = +1.61), </w:t>
      </w:r>
      <w:proofErr w:type="spellStart"/>
      <w:r w:rsidRPr="00746865">
        <w:rPr>
          <w:rFonts w:asciiTheme="minorHAnsi" w:hAnsiTheme="minorHAnsi"/>
          <w:color w:val="000000"/>
          <w:sz w:val="22"/>
          <w:szCs w:val="22"/>
        </w:rPr>
        <w:t>downtime_hours</w:t>
      </w:r>
      <w:proofErr w:type="spellEnd"/>
      <w:r w:rsidRPr="00746865">
        <w:rPr>
          <w:rFonts w:asciiTheme="minorHAnsi" w:hAnsiTheme="minorHAnsi"/>
          <w:color w:val="000000"/>
          <w:sz w:val="22"/>
          <w:szCs w:val="22"/>
        </w:rPr>
        <w:t xml:space="preserve"> (β = +1.47), </w:t>
      </w:r>
      <w:proofErr w:type="spellStart"/>
      <w:r w:rsidRPr="00746865">
        <w:rPr>
          <w:rFonts w:asciiTheme="minorHAnsi" w:hAnsiTheme="minorHAnsi"/>
          <w:color w:val="000000"/>
          <w:sz w:val="22"/>
          <w:szCs w:val="22"/>
        </w:rPr>
        <w:t>market_pressure</w:t>
      </w:r>
      <w:proofErr w:type="spellEnd"/>
      <w:r w:rsidRPr="00746865">
        <w:rPr>
          <w:rFonts w:asciiTheme="minorHAnsi" w:hAnsiTheme="minorHAnsi"/>
          <w:color w:val="000000"/>
          <w:sz w:val="22"/>
          <w:szCs w:val="22"/>
        </w:rPr>
        <w:t xml:space="preserve"> (β = +1.35), and </w:t>
      </w:r>
      <w:proofErr w:type="spellStart"/>
      <w:r w:rsidRPr="00746865">
        <w:rPr>
          <w:rFonts w:asciiTheme="minorHAnsi" w:hAnsiTheme="minorHAnsi"/>
          <w:color w:val="000000"/>
          <w:sz w:val="22"/>
          <w:szCs w:val="22"/>
        </w:rPr>
        <w:t>churn_rate</w:t>
      </w:r>
      <w:proofErr w:type="spellEnd"/>
      <w:r w:rsidRPr="00746865">
        <w:rPr>
          <w:rFonts w:asciiTheme="minorHAnsi" w:hAnsiTheme="minorHAnsi"/>
          <w:color w:val="000000"/>
          <w:sz w:val="22"/>
          <w:szCs w:val="22"/>
        </w:rPr>
        <w:t xml:space="preserve"> (β = +1.12). Conversely, </w:t>
      </w:r>
      <w:proofErr w:type="spellStart"/>
      <w:r w:rsidRPr="00746865">
        <w:rPr>
          <w:rFonts w:asciiTheme="minorHAnsi" w:hAnsiTheme="minorHAnsi"/>
          <w:color w:val="000000"/>
          <w:sz w:val="22"/>
          <w:szCs w:val="22"/>
        </w:rPr>
        <w:t>digital_penetration</w:t>
      </w:r>
      <w:proofErr w:type="spellEnd"/>
      <w:r w:rsidRPr="00746865">
        <w:rPr>
          <w:rFonts w:asciiTheme="minorHAnsi" w:hAnsiTheme="minorHAnsi"/>
          <w:color w:val="000000"/>
          <w:sz w:val="22"/>
          <w:szCs w:val="22"/>
        </w:rPr>
        <w:t xml:space="preserve"> has a negative coefficient (β = -0.94), confirming that higher digital adoption reduces escalation probability — consistent with the strategic hypothesis that Manulife's digital transformation investments are a genuine risk mitigation mechanism, not merely a growth initiative.</w:t>
      </w:r>
    </w:p>
    <w:p w14:paraId="34FD362A"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These coefficients directly inform management action priorities: the risks driven by vulnerability rate and regulatory pressure require the most urgent and resource-intensive responses. The negative effect of digital penetration provides quantitative justification for accelerating digital investment as a risk-reduction strategy.</w:t>
      </w:r>
    </w:p>
    <w:p w14:paraId="7113C292" w14:textId="43C5442A"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4 Monte Carlo Portfolio Simulation</w:t>
      </w:r>
    </w:p>
    <w:p w14:paraId="1E1C48A9"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Monte Carlo simulation was applied to model the full uncertainty and variability of portfolio-level loss outcomes across all 32 risks. Rather than applying simulation to a single risk in isolation, a portfolio Monte Carlo approach was used to capture enterprise-wide </w:t>
      </w:r>
      <w:proofErr w:type="gramStart"/>
      <w:r w:rsidRPr="00746865">
        <w:rPr>
          <w:rFonts w:asciiTheme="minorHAnsi" w:hAnsiTheme="minorHAnsi"/>
          <w:color w:val="000000"/>
          <w:sz w:val="22"/>
          <w:szCs w:val="22"/>
        </w:rPr>
        <w:t>uncertainty — the aggregate</w:t>
      </w:r>
      <w:proofErr w:type="gramEnd"/>
      <w:r w:rsidRPr="00746865">
        <w:rPr>
          <w:rFonts w:asciiTheme="minorHAnsi" w:hAnsiTheme="minorHAnsi"/>
          <w:color w:val="000000"/>
          <w:sz w:val="22"/>
          <w:szCs w:val="22"/>
        </w:rPr>
        <w:t xml:space="preserve"> of correlated and independent risk outcomes across the full risk universe.</w:t>
      </w:r>
    </w:p>
    <w:p w14:paraId="3E1C4B58" w14:textId="5E799BAA"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4.1 Simulation Design</w:t>
      </w:r>
    </w:p>
    <w:p w14:paraId="5E83418A"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Each of the 32 risks was assigned an occurrence probability (p = Likelihood / 10), a category-based loss distribution parameterized using the proxy financial exposure values from Table 2, and a correlation structure that assumes positive correlation between risks within the same category (e.g., R5 and R28 are positively correlated as both strategic risks) and near-independence between categories. The simulation executed 10,000 trials. In each trial, each risk either occurred (drawn from its Bernoulli probability) or did not, and if it occurred, a loss value was drawn from its category-specific distribution. Total portfolio loss in each trial was the sum of all realized individual losses. This portfolio approach captures diversification effects (uncorrelated risks partially offset each other) while preserving tail risk from simultaneous enterprise-wide events.</w:t>
      </w:r>
    </w:p>
    <w:p w14:paraId="6C762B6A" w14:textId="45CC87E8"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4.2 Simulation Results</w:t>
      </w:r>
    </w:p>
    <w:p w14:paraId="0C6C6B03"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Across the three scenarios — Base Case, Stress Case, and Severe Case — the Monte Carlo simulation produced the following key results (see also Table 3):</w:t>
      </w:r>
    </w:p>
    <w:p w14:paraId="3651FBFA"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Base Case: Average portfolio loss of $145M, 95th percentile loss of $310M, maximum simulated loss of $520M.</w:t>
      </w:r>
    </w:p>
    <w:p w14:paraId="023C6DE8"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Stress Case: Average portfolio loss rising to $225M, 95th percentile of $475M, maximum simulated loss of $790M.</w:t>
      </w:r>
    </w:p>
    <w:p w14:paraId="635106B7"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Severe Case: Average portfolio loss of $380M, 95th percentile of $720M, maximum simulated loss of $1.1B.</w:t>
      </w:r>
    </w:p>
    <w:p w14:paraId="367B857B"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lastRenderedPageBreak/>
        <w:t>The most important finding is not the expected values but the spread between percentiles. In the Base Case, the 95th percentile loss ($310M) is more than double the average loss ($145M). In the Severe Case, the 95th percentile ($720M) is almost double the average ($380M). This spread reflects the fat-tailed nature of enterprise risk, where low-probability but high-impact events — particularly concurrent failures across multiple risk categories — produce outcomes dramatically worse than average. Management frameworks built on expected values alone will systematically under-prepare for these tail events.</w:t>
      </w:r>
    </w:p>
    <w:p w14:paraId="3BBC98D9"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simulation also identified R27 (enterprise disruption) as the single largest tail risk contributor, accounting for approximately 35% of total 95th percentile loss in isolation. This quantitatively confirms the qualitative finding that enterprise-level disruption deserves its own dedicated response strategy and board-level oversight separate from the category-level responses applied to strategic and operational risks.</w:t>
      </w:r>
    </w:p>
    <w:p w14:paraId="4D409C84" w14:textId="14718C29"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5 Integrated Situation Assessment</w:t>
      </w:r>
    </w:p>
    <w:p w14:paraId="42C14C12"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Signature Assessment requires an explicit connection between model inputs and the broader business and non-business environment. Table 6 maps the key environmental factors to their corresponding model influences.</w:t>
      </w:r>
    </w:p>
    <w:p w14:paraId="0C901965" w14:textId="11D9F9F2"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5.1 Business Environment Factors</w:t>
      </w:r>
    </w:p>
    <w:p w14:paraId="0F2AFCC7"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 xml:space="preserve">Intensified fintech and </w:t>
      </w:r>
      <w:proofErr w:type="spellStart"/>
      <w:r w:rsidRPr="00746865">
        <w:rPr>
          <w:rFonts w:asciiTheme="minorHAnsi" w:hAnsiTheme="minorHAnsi"/>
          <w:color w:val="000000"/>
          <w:sz w:val="22"/>
          <w:szCs w:val="22"/>
        </w:rPr>
        <w:t>insurtech</w:t>
      </w:r>
      <w:proofErr w:type="spellEnd"/>
      <w:r w:rsidRPr="00746865">
        <w:rPr>
          <w:rFonts w:asciiTheme="minorHAnsi" w:hAnsiTheme="minorHAnsi"/>
          <w:color w:val="000000"/>
          <w:sz w:val="22"/>
          <w:szCs w:val="22"/>
        </w:rPr>
        <w:t xml:space="preserve"> competition: Directly increases the </w:t>
      </w:r>
      <w:proofErr w:type="spellStart"/>
      <w:r w:rsidRPr="00746865">
        <w:rPr>
          <w:rFonts w:asciiTheme="minorHAnsi" w:hAnsiTheme="minorHAnsi"/>
          <w:color w:val="000000"/>
          <w:sz w:val="22"/>
          <w:szCs w:val="22"/>
        </w:rPr>
        <w:t>market_pressure</w:t>
      </w:r>
      <w:proofErr w:type="spellEnd"/>
      <w:r w:rsidRPr="00746865">
        <w:rPr>
          <w:rFonts w:asciiTheme="minorHAnsi" w:hAnsiTheme="minorHAnsi"/>
          <w:color w:val="000000"/>
          <w:sz w:val="22"/>
          <w:szCs w:val="22"/>
        </w:rPr>
        <w:t xml:space="preserve"> feature and elevates probability assumptions for R5, R1, and R28. Manulife's QoQ digital policy acquisition differential — the R5 KRI — is the primary observable signal of this competitive dynamic.</w:t>
      </w:r>
    </w:p>
    <w:p w14:paraId="7F3023E6"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Digital product rollout pressure: Accelerated release cycles increase the probability of technology failures (R6) and compliance gaps (R12) as new AI-enabled products are deployed before full governance frameworks are in place.</w:t>
      </w:r>
    </w:p>
    <w:p w14:paraId="74DE24F0"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 xml:space="preserve">Customer experience expectations: Rising consumer expectations for personalized, real-time digital service increase </w:t>
      </w:r>
      <w:proofErr w:type="spellStart"/>
      <w:r w:rsidRPr="00746865">
        <w:rPr>
          <w:rFonts w:asciiTheme="minorHAnsi" w:hAnsiTheme="minorHAnsi"/>
          <w:color w:val="000000"/>
          <w:sz w:val="22"/>
          <w:szCs w:val="22"/>
        </w:rPr>
        <w:t>churn_rate</w:t>
      </w:r>
      <w:proofErr w:type="spellEnd"/>
      <w:r w:rsidRPr="00746865">
        <w:rPr>
          <w:rFonts w:asciiTheme="minorHAnsi" w:hAnsiTheme="minorHAnsi"/>
          <w:color w:val="000000"/>
          <w:sz w:val="22"/>
          <w:szCs w:val="22"/>
        </w:rPr>
        <w:t xml:space="preserve"> sensitivity and elevate impact estimates for operational risks (R2, R25).</w:t>
      </w:r>
    </w:p>
    <w:p w14:paraId="093C0B18"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Margin compression: Financial pressure from margin compression in core insurance lines increases the cost sensitivity of all operational risks, effectively raising their financial impact relative to earlier periods.</w:t>
      </w:r>
    </w:p>
    <w:p w14:paraId="5F824D97" w14:textId="7B1E6096"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5.2 Non-Business Environment Factors</w:t>
      </w:r>
    </w:p>
    <w:p w14:paraId="24E78AB3"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 xml:space="preserve">Regulatory scrutiny of AI and data use: Canada's Bill C-27 Artificial Intelligence and Data Act (AIDA) framework, OSFI's updated B-10 Technology and Cyber Risk Management guideline, and global AI governance trends directly increase the </w:t>
      </w:r>
      <w:proofErr w:type="spellStart"/>
      <w:r w:rsidRPr="00746865">
        <w:rPr>
          <w:rFonts w:asciiTheme="minorHAnsi" w:hAnsiTheme="minorHAnsi"/>
          <w:color w:val="000000"/>
          <w:sz w:val="22"/>
          <w:szCs w:val="22"/>
        </w:rPr>
        <w:t>regulatory_pressure</w:t>
      </w:r>
      <w:proofErr w:type="spellEnd"/>
      <w:r w:rsidRPr="00746865">
        <w:rPr>
          <w:rFonts w:asciiTheme="minorHAnsi" w:hAnsiTheme="minorHAnsi"/>
          <w:color w:val="000000"/>
          <w:sz w:val="22"/>
          <w:szCs w:val="22"/>
        </w:rPr>
        <w:t xml:space="preserve"> feature and elevate probability and impact for R12 and R15.</w:t>
      </w:r>
    </w:p>
    <w:p w14:paraId="61C0BDA2"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Cyber threat environment: The IBM Security (2023) Cost of a Data Breach report documented a global average breach cost of USD $4.45M, with financial services sector costs significantly higher. This benchmark grounds the proxy financial exposure for R11 and R6.</w:t>
      </w:r>
    </w:p>
    <w:p w14:paraId="3A37CA11"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Cloud and technology dependence: Manulife's accelerating cloud migration increases both the frequency and potential severity of technology failures (R6, R14) and creates new attack surfaces for cyber threats (R11).</w:t>
      </w:r>
    </w:p>
    <w:p w14:paraId="094FBC54"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 xml:space="preserve">Geopolitical and market uncertainty in Asian growth regions: Political and economic uncertainty in China, Hong Kong, and Southeast Asian markets introduces additional </w:t>
      </w:r>
      <w:r w:rsidRPr="00746865">
        <w:rPr>
          <w:rFonts w:asciiTheme="minorHAnsi" w:hAnsiTheme="minorHAnsi"/>
          <w:color w:val="000000"/>
          <w:sz w:val="22"/>
          <w:szCs w:val="22"/>
        </w:rPr>
        <w:lastRenderedPageBreak/>
        <w:t>scenario variability for R5's impact in international markets and affects the positive risk opportunity modeling for PR1.</w:t>
      </w:r>
    </w:p>
    <w:p w14:paraId="52F8A74D"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These environmental factors are not decorative context — they are the structural drivers of the probability assumptions, loss distribution parameters, and scenario conditions used throughout the quantitative analysis. Any significant change in these factors should trigger a formal KRI review and potential model re-parameterization.</w:t>
      </w:r>
    </w:p>
    <w:p w14:paraId="28370513" w14:textId="27527DCD" w:rsidR="00746865" w:rsidRPr="00746865" w:rsidRDefault="00746865" w:rsidP="00746865">
      <w:pPr>
        <w:pBdr>
          <w:bottom w:val="single" w:sz="12" w:space="4" w:color="1F3864"/>
        </w:pBdr>
        <w:spacing w:before="360" w:after="120"/>
        <w:rPr>
          <w:rFonts w:asciiTheme="minorHAnsi" w:hAnsiTheme="minorHAnsi"/>
          <w:sz w:val="22"/>
          <w:szCs w:val="22"/>
        </w:rPr>
      </w:pPr>
      <w:r w:rsidRPr="00746865">
        <w:rPr>
          <w:rFonts w:asciiTheme="minorHAnsi" w:hAnsiTheme="minorHAnsi"/>
          <w:b/>
          <w:bCs/>
          <w:color w:val="1F3864"/>
          <w:sz w:val="22"/>
          <w:szCs w:val="22"/>
        </w:rPr>
        <w:t>Risk Response Strategy</w:t>
      </w:r>
    </w:p>
    <w:p w14:paraId="61CA640C"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Risk response strategies were developed for each priority risk based on their qualitative and quantitative assessment results, consistent with the ISO 31000:2018 framework and ALY 6980 Module 5 guidance. For negative risks, the four primary strategies are: Avoid (eliminate the risk by changing plans), Mitigate (reduce likelihood or impact), Transfer (shift financial exposure to a third party), and Accept (acknowledge and monitor). For positive risks, strategies include Exploit (maximize the probability and impact of the opportunity), Enhance (increase the probability or impact), and Share (partner with others to jointly capture the opportunity). The strategies below are calibrated to the specific risk profile, organizational capacity, and environmental conditions identified in prior sections.</w:t>
      </w:r>
    </w:p>
    <w:p w14:paraId="2C6CF867" w14:textId="78671799"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1 High-Priority Negative Risk Responses</w:t>
      </w:r>
    </w:p>
    <w:p w14:paraId="6B824B4D"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R5: Major Strategic Disruption from Fintech and Insurtech Competition (Score: 81)</w:t>
      </w:r>
    </w:p>
    <w:p w14:paraId="008FB88C"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Mitigate</w:t>
      </w:r>
    </w:p>
    <w:p w14:paraId="24A771CF"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Avoidance is not feasible because Manulife cannot eliminate competitive pressure. Transfer offers only limited relief because lost market share cannot be </w:t>
      </w:r>
      <w:proofErr w:type="gramStart"/>
      <w:r w:rsidRPr="00746865">
        <w:rPr>
          <w:rFonts w:asciiTheme="minorHAnsi" w:hAnsiTheme="minorHAnsi"/>
          <w:color w:val="000000"/>
          <w:sz w:val="22"/>
          <w:szCs w:val="22"/>
        </w:rPr>
        <w:t>insured</w:t>
      </w:r>
      <w:proofErr w:type="gramEnd"/>
      <w:r w:rsidRPr="00746865">
        <w:rPr>
          <w:rFonts w:asciiTheme="minorHAnsi" w:hAnsiTheme="minorHAnsi"/>
          <w:color w:val="000000"/>
          <w:sz w:val="22"/>
          <w:szCs w:val="22"/>
        </w:rPr>
        <w:t xml:space="preserve">. Mitigation is the primary strategy, executed through three parallel workstreams: first, accelerated digital product development with shorter release cycles and agile experimentation frameworks; second, analytics-driven customer retention using the predictive churn model to intervene before defection occurs; and third, strategic pricing analysis using price elasticity modeling (developed in the Walmart retail analytics framework) applied to Manulife's product portfolio. The logistic regression model's identification of </w:t>
      </w:r>
      <w:proofErr w:type="spellStart"/>
      <w:r w:rsidRPr="00746865">
        <w:rPr>
          <w:rFonts w:asciiTheme="minorHAnsi" w:hAnsiTheme="minorHAnsi"/>
          <w:color w:val="000000"/>
          <w:sz w:val="22"/>
          <w:szCs w:val="22"/>
        </w:rPr>
        <w:t>market_pressure</w:t>
      </w:r>
      <w:proofErr w:type="spellEnd"/>
      <w:r w:rsidRPr="00746865">
        <w:rPr>
          <w:rFonts w:asciiTheme="minorHAnsi" w:hAnsiTheme="minorHAnsi"/>
          <w:color w:val="000000"/>
          <w:sz w:val="22"/>
          <w:szCs w:val="22"/>
        </w:rPr>
        <w:t xml:space="preserve"> as a high-coefficient predictor confirms that this risk warrants intensive proactive investment.</w:t>
      </w:r>
    </w:p>
    <w:p w14:paraId="46C5C65A"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R6: High-Impact Technology Failure (Score: 54)</w:t>
      </w:r>
    </w:p>
    <w:p w14:paraId="2C5739DC"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Mitigate + Transfer</w:t>
      </w:r>
    </w:p>
    <w:p w14:paraId="29536FE9"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Technology failure risk requires a dual-strategy response. Mitigation encompasses resilience engineering (redundant systems, automatic failover, regular disaster recovery testing), security-by-design practices in all digital product development, and structured incident response planning aligned with OSFI B-10 requirements. Transfer is achieved through cyber and technology insurance coverage and contractual service-level agreements with cloud and platform vendors that define financial liability for downtime. The Monte Carlo simulation's finding that R6 contributes disproportionately to tail risk outcomes reinforces the need for both approaches simultaneously.</w:t>
      </w:r>
    </w:p>
    <w:p w14:paraId="00F8FFF6"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R12: Severe Compliance and Market Risk (Score: 63)</w:t>
      </w:r>
    </w:p>
    <w:p w14:paraId="6B802A53"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Mitigate + Avoid</w:t>
      </w:r>
    </w:p>
    <w:p w14:paraId="2EE4A791"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Manulife should actively avoid practices that create regulatory liability — particularly non-compliant AI model deployment, data sharing without appropriate consent, and algorithmic decision-making </w:t>
      </w:r>
      <w:r w:rsidRPr="00746865">
        <w:rPr>
          <w:rFonts w:asciiTheme="minorHAnsi" w:hAnsiTheme="minorHAnsi"/>
          <w:color w:val="000000"/>
          <w:sz w:val="22"/>
          <w:szCs w:val="22"/>
        </w:rPr>
        <w:lastRenderedPageBreak/>
        <w:t>without explainability documentation. Mitigation involves strengthening the AI governance framework, establishing model risk management processes aligned with OSFI E-23 (Model Risk Management Guideline), and implementing independent compliance monitoring of all AI-enabled underwriting decisions. The compliance exception count KRI provides the measurable early-warning signal.</w:t>
      </w:r>
    </w:p>
    <w:p w14:paraId="14FD3CF8"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R15: High-Impact Regulatory or Strategic Failure (Score: 72)</w:t>
      </w:r>
    </w:p>
    <w:p w14:paraId="5218C105"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Mitigate</w:t>
      </w:r>
    </w:p>
    <w:p w14:paraId="1AB1CF3C"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Given its severity score and high expected loss ($160M), acceptance is not appropriate for R15. Mitigation requires ongoing engagement with Canadian and international regulators, scenario-based stress testing of the full product portfolio under alternative regulatory environments, and a dedicated regulatory intelligence function that monitors emerging rules (including AIDA, OSFI updates, and international AI governance frameworks) and translates them into product and process requirements before enforcement deadlines. Board-level reporting of the regulatory change pressure KRI is recommended quarterly.</w:t>
      </w:r>
    </w:p>
    <w:p w14:paraId="3267F249"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R27: Critical Enterprise-Wide Disruption (Score: 81)</w:t>
      </w:r>
    </w:p>
    <w:p w14:paraId="58C6AAEB"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Avoid + Mitigate + Escalate</w:t>
      </w:r>
    </w:p>
    <w:p w14:paraId="5897CF63"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Enterprise-level disruption is uniquely challenging because it represents the convergence of multiple simultaneous failures rather than a single categorical event. Avoidance reduces the probability of convergence through architectural simplification (reducing single points of failure), concentration risk reduction (avoiding over-reliance on any single technology platform, regulatory jurisdiction, or client segment), and robust inter-system isolation. Mitigation encompasses enterprise-wide Business Continuity Planning (BCP) and Disaster Recovery (DR) frameworks tested at least annually under simulated severe conditions. Given the tail risk concentration identified in the Monte Carlo simulation, escalation to Board level is warranted — the enterprise incident severity index KRI should be reported to the Board Risk Committee monthly.</w:t>
      </w:r>
    </w:p>
    <w:p w14:paraId="52FBF6E2"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R28 and R30: Strategic and Operational Pressure (Scores: 45, 42)</w:t>
      </w:r>
    </w:p>
    <w:p w14:paraId="273B27DA"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Mitigate</w:t>
      </w:r>
    </w:p>
    <w:p w14:paraId="23749151"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Both risks reflect structural competitive vulnerability — the cumulative effect of sustained competitive pressure and operational execution gaps. Mitigation for R28 focuses on execution speed: reducing time-to-market for digital products, improving customer-facing digital service quality through continuous UX measurement, and maintaining operational efficiency to fund digital investment. Mitigation for R30 addresses the underlying vulnerability through capabilities investment — specifically, the data and analytics capabilities that the logistic regression model confirms reduce escalation probability via the </w:t>
      </w:r>
      <w:proofErr w:type="spellStart"/>
      <w:r w:rsidRPr="00746865">
        <w:rPr>
          <w:rFonts w:asciiTheme="minorHAnsi" w:hAnsiTheme="minorHAnsi"/>
          <w:color w:val="000000"/>
          <w:sz w:val="22"/>
          <w:szCs w:val="22"/>
        </w:rPr>
        <w:t>digital_penetration</w:t>
      </w:r>
      <w:proofErr w:type="spellEnd"/>
      <w:r w:rsidRPr="00746865">
        <w:rPr>
          <w:rFonts w:asciiTheme="minorHAnsi" w:hAnsiTheme="minorHAnsi"/>
          <w:color w:val="000000"/>
          <w:sz w:val="22"/>
          <w:szCs w:val="22"/>
        </w:rPr>
        <w:t xml:space="preserve"> feature.</w:t>
      </w:r>
    </w:p>
    <w:p w14:paraId="49F78FF7" w14:textId="1749FBB0"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t>2 Moderate and Low Risk Responses</w:t>
      </w:r>
    </w:p>
    <w:p w14:paraId="395AD1C5"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Moderate risks (R2, R3, R11, R19, R20, R25, R26, R29) are managed through selective mitigation where cost-effective and acceptance with active KRI monitoring otherwise. Low risks are accepted and monitored at </w:t>
      </w:r>
      <w:proofErr w:type="gramStart"/>
      <w:r w:rsidRPr="00746865">
        <w:rPr>
          <w:rFonts w:asciiTheme="minorHAnsi" w:hAnsiTheme="minorHAnsi"/>
          <w:color w:val="000000"/>
          <w:sz w:val="22"/>
          <w:szCs w:val="22"/>
        </w:rPr>
        <w:t>the team</w:t>
      </w:r>
      <w:proofErr w:type="gramEnd"/>
      <w:r w:rsidRPr="00746865">
        <w:rPr>
          <w:rFonts w:asciiTheme="minorHAnsi" w:hAnsiTheme="minorHAnsi"/>
          <w:color w:val="000000"/>
          <w:sz w:val="22"/>
          <w:szCs w:val="22"/>
        </w:rPr>
        <w:t xml:space="preserve"> level with no dedicated mitigation resource. An important exception is R31 — a low-score enterprise tail risk — which despite its low score (18)</w:t>
      </w:r>
      <w:proofErr w:type="gramStart"/>
      <w:r w:rsidRPr="00746865">
        <w:rPr>
          <w:rFonts w:asciiTheme="minorHAnsi" w:hAnsiTheme="minorHAnsi"/>
          <w:color w:val="000000"/>
          <w:sz w:val="22"/>
          <w:szCs w:val="22"/>
        </w:rPr>
        <w:t xml:space="preserve"> deserves</w:t>
      </w:r>
      <w:proofErr w:type="gramEnd"/>
      <w:r w:rsidRPr="00746865">
        <w:rPr>
          <w:rFonts w:asciiTheme="minorHAnsi" w:hAnsiTheme="minorHAnsi"/>
          <w:color w:val="000000"/>
          <w:sz w:val="22"/>
          <w:szCs w:val="22"/>
        </w:rPr>
        <w:t xml:space="preserve"> ongoing monitoring because its high impact value (9) means that even low-probability realization would be catastrophic. This is the classic tail risk management challenge: do not dismiss a risk solely because its expected value is small.</w:t>
      </w:r>
    </w:p>
    <w:p w14:paraId="6C2E40A4" w14:textId="728582AB" w:rsidR="00746865" w:rsidRPr="00746865" w:rsidRDefault="00746865" w:rsidP="00746865">
      <w:pPr>
        <w:spacing w:before="240" w:after="80"/>
        <w:rPr>
          <w:rFonts w:asciiTheme="minorHAnsi" w:hAnsiTheme="minorHAnsi"/>
          <w:sz w:val="22"/>
          <w:szCs w:val="22"/>
        </w:rPr>
      </w:pPr>
      <w:r w:rsidRPr="00746865">
        <w:rPr>
          <w:rFonts w:asciiTheme="minorHAnsi" w:hAnsiTheme="minorHAnsi"/>
          <w:b/>
          <w:bCs/>
          <w:color w:val="1F3864"/>
          <w:sz w:val="22"/>
          <w:szCs w:val="22"/>
        </w:rPr>
        <w:lastRenderedPageBreak/>
        <w:t>3 Positive Risk Responses</w:t>
      </w:r>
    </w:p>
    <w:p w14:paraId="4572B7C2"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Positive Risk 1: AI-Driven Digital Underwriting Expansion in Asian Markets</w:t>
      </w:r>
    </w:p>
    <w:p w14:paraId="5D0061C5"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Exploit + Enhance</w:t>
      </w:r>
    </w:p>
    <w:p w14:paraId="72B3A9AA"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Exploitation means committing dedicated resources — capital, talent, and technology — to fully capture this opportunity before competitors. Enhancement involves increasing the probability and magnitude of success through local market analytics partnerships, regulatory engagement with Asian financial regulators to accelerate AI underwriting approvals, and rollout acceleration through agile product development. The digital market penetration KRI tracks quarterly progress, and </w:t>
      </w:r>
      <w:proofErr w:type="gramStart"/>
      <w:r w:rsidRPr="00746865">
        <w:rPr>
          <w:rFonts w:asciiTheme="minorHAnsi" w:hAnsiTheme="minorHAnsi"/>
          <w:color w:val="000000"/>
          <w:sz w:val="22"/>
          <w:szCs w:val="22"/>
        </w:rPr>
        <w:t>Red</w:t>
      </w:r>
      <w:proofErr w:type="gramEnd"/>
      <w:r w:rsidRPr="00746865">
        <w:rPr>
          <w:rFonts w:asciiTheme="minorHAnsi" w:hAnsiTheme="minorHAnsi"/>
          <w:color w:val="000000"/>
          <w:sz w:val="22"/>
          <w:szCs w:val="22"/>
        </w:rPr>
        <w:t xml:space="preserve"> threshold breach triggers a strategy redesign review rather than a defensive response.</w:t>
      </w:r>
    </w:p>
    <w:p w14:paraId="7180DC8F" w14:textId="77777777" w:rsidR="00746865" w:rsidRPr="00746865" w:rsidRDefault="00746865" w:rsidP="00746865">
      <w:pPr>
        <w:spacing w:before="160" w:after="60"/>
        <w:rPr>
          <w:rFonts w:asciiTheme="minorHAnsi" w:hAnsiTheme="minorHAnsi"/>
          <w:sz w:val="22"/>
          <w:szCs w:val="22"/>
        </w:rPr>
      </w:pPr>
      <w:r w:rsidRPr="00746865">
        <w:rPr>
          <w:rFonts w:asciiTheme="minorHAnsi" w:hAnsiTheme="minorHAnsi"/>
          <w:b/>
          <w:bCs/>
          <w:color w:val="444444"/>
          <w:sz w:val="22"/>
          <w:szCs w:val="22"/>
        </w:rPr>
        <w:t>Positive Risk 2: Data-Driven Customer Personalization and Retention</w:t>
      </w:r>
    </w:p>
    <w:p w14:paraId="779A5940"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b/>
          <w:bCs/>
          <w:color w:val="000000"/>
          <w:sz w:val="22"/>
          <w:szCs w:val="22"/>
        </w:rPr>
        <w:t xml:space="preserve">Strategy: </w:t>
      </w:r>
      <w:r w:rsidRPr="00746865">
        <w:rPr>
          <w:rFonts w:asciiTheme="minorHAnsi" w:hAnsiTheme="minorHAnsi"/>
          <w:color w:val="000000"/>
          <w:sz w:val="22"/>
          <w:szCs w:val="22"/>
        </w:rPr>
        <w:t>Exploit + Enhance</w:t>
      </w:r>
    </w:p>
    <w:p w14:paraId="775EDD77"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The predictive customer intelligence capability built to support retention modeling (informed by the medical insurance segmentation project and bank marketing analysis conducted during the course) can be directly deployed to improve Manulife's customer churn prediction accuracy and lifetime value modeling. Exploitation involves deploying these models in production for high-value customer segments. Enhancement involves continuous model improvement through expanding training data, incorporating new behavioral signals (digital engagement, cross-sell behavior), and integrating with customer service platforms for real-time intervention triggers.</w:t>
      </w:r>
    </w:p>
    <w:p w14:paraId="0D6309C2" w14:textId="620CCCD1" w:rsidR="00746865" w:rsidRPr="00746865" w:rsidRDefault="00746865" w:rsidP="00746865">
      <w:pPr>
        <w:pBdr>
          <w:bottom w:val="single" w:sz="12" w:space="4" w:color="1F3864"/>
        </w:pBdr>
        <w:spacing w:before="360" w:after="120"/>
        <w:rPr>
          <w:rFonts w:asciiTheme="minorHAnsi" w:hAnsiTheme="minorHAnsi"/>
          <w:sz w:val="22"/>
          <w:szCs w:val="22"/>
        </w:rPr>
      </w:pPr>
      <w:r w:rsidRPr="00746865">
        <w:rPr>
          <w:rFonts w:asciiTheme="minorHAnsi" w:hAnsiTheme="minorHAnsi"/>
          <w:b/>
          <w:bCs/>
          <w:color w:val="1F3864"/>
          <w:sz w:val="22"/>
          <w:szCs w:val="22"/>
        </w:rPr>
        <w:t>Key Risk Indicators (KRIs) and Trigger Points</w:t>
      </w:r>
    </w:p>
    <w:p w14:paraId="2B79FDC4"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Key Risk Indicators (KRIs) are quantitative or qualitative metrics that provide early warning of increasing risk exposure before a risk event materializes. They are the operational link between risk monitoring and management action. Effective KRIs must be measurable, observable, leading (predictive rather than retrospective), and connected to a defined response protocol. The development of KRIs for this assessment followed the CRISP-DM methodology as the analytical backbone:</w:t>
      </w:r>
    </w:p>
    <w:p w14:paraId="02091B14"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Business Understanding: Define the risk or opportunity and its relevance to Manulife's strategic objectives.</w:t>
      </w:r>
    </w:p>
    <w:p w14:paraId="32607DB2"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Data Understanding: Identify which observable metrics signal movement in the risk.</w:t>
      </w:r>
    </w:p>
    <w:p w14:paraId="3AC2EEAF"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Data Preparation: Define how each metric is collected, cleaned, and calculated on a consistent basis.</w:t>
      </w:r>
    </w:p>
    <w:p w14:paraId="634B71F5"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Modeling: Build predictive or warning models that interpret the metric in context (including the logistic regression model's coefficient alignment).</w:t>
      </w:r>
    </w:p>
    <w:p w14:paraId="605FC1A8"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Evaluation: Validate that thresholds are useful for triggering action — neither too sensitive (excessive false alarms) nor too insensitive (missed events).</w:t>
      </w:r>
    </w:p>
    <w:p w14:paraId="54953B52" w14:textId="77777777" w:rsidR="00746865" w:rsidRPr="00746865" w:rsidRDefault="00746865" w:rsidP="00746865">
      <w:pPr>
        <w:pStyle w:val="ListParagraph"/>
        <w:numPr>
          <w:ilvl w:val="0"/>
          <w:numId w:val="1"/>
        </w:numPr>
        <w:spacing w:before="40" w:after="40"/>
        <w:contextualSpacing w:val="0"/>
        <w:jc w:val="both"/>
        <w:rPr>
          <w:rFonts w:asciiTheme="minorHAnsi" w:hAnsiTheme="minorHAnsi"/>
          <w:sz w:val="22"/>
          <w:szCs w:val="22"/>
        </w:rPr>
      </w:pPr>
      <w:r w:rsidRPr="00746865">
        <w:rPr>
          <w:rFonts w:asciiTheme="minorHAnsi" w:hAnsiTheme="minorHAnsi"/>
          <w:color w:val="000000"/>
          <w:sz w:val="22"/>
          <w:szCs w:val="22"/>
        </w:rPr>
        <w:t>Deployment: Integrate KRIs into management dashboards, board reporting, and operational review cycles with clear ownership and escalation paths.</w:t>
      </w:r>
    </w:p>
    <w:p w14:paraId="7C11AB34"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t xml:space="preserve">Table 6 presents the full KRI framework for the eight priority risks and two positive risk opportunities. Each KRI includes a clear metric definition, Green/Amber/Red threshold structure, and specific response action triggered at the </w:t>
      </w:r>
      <w:proofErr w:type="gramStart"/>
      <w:r w:rsidRPr="00746865">
        <w:rPr>
          <w:rFonts w:asciiTheme="minorHAnsi" w:hAnsiTheme="minorHAnsi"/>
          <w:color w:val="000000"/>
          <w:sz w:val="22"/>
          <w:szCs w:val="22"/>
        </w:rPr>
        <w:t>Red</w:t>
      </w:r>
      <w:proofErr w:type="gramEnd"/>
      <w:r w:rsidRPr="00746865">
        <w:rPr>
          <w:rFonts w:asciiTheme="minorHAnsi" w:hAnsiTheme="minorHAnsi"/>
          <w:color w:val="000000"/>
          <w:sz w:val="22"/>
          <w:szCs w:val="22"/>
        </w:rPr>
        <w:t xml:space="preserve"> threshold.</w:t>
      </w:r>
    </w:p>
    <w:p w14:paraId="4CE1D1BE" w14:textId="77777777" w:rsidR="00746865" w:rsidRPr="00746865" w:rsidRDefault="00746865" w:rsidP="00746865">
      <w:pPr>
        <w:spacing w:before="80" w:after="80"/>
        <w:jc w:val="center"/>
        <w:rPr>
          <w:rFonts w:asciiTheme="minorHAnsi" w:hAnsiTheme="minorHAnsi"/>
          <w:sz w:val="22"/>
          <w:szCs w:val="22"/>
        </w:rPr>
      </w:pPr>
      <w:r w:rsidRPr="00746865">
        <w:rPr>
          <w:rFonts w:asciiTheme="minorHAnsi" w:hAnsiTheme="minorHAnsi"/>
          <w:b/>
          <w:bCs/>
          <w:color w:val="000000"/>
          <w:sz w:val="22"/>
          <w:szCs w:val="22"/>
        </w:rPr>
        <w:t>Table 6: KRI Framework with Thresholds and Response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1"/>
        <w:gridCol w:w="1500"/>
        <w:gridCol w:w="1412"/>
        <w:gridCol w:w="1212"/>
        <w:gridCol w:w="1212"/>
        <w:gridCol w:w="1404"/>
        <w:gridCol w:w="2069"/>
      </w:tblGrid>
      <w:tr w:rsidR="00746865" w:rsidRPr="00746865" w14:paraId="467144F6" w14:textId="77777777" w:rsidTr="009128CE">
        <w:tblPrEx>
          <w:tblCellMar>
            <w:top w:w="0" w:type="dxa"/>
            <w:bottom w:w="0" w:type="dxa"/>
          </w:tblCellMar>
        </w:tblPrEx>
        <w:trPr>
          <w:tblHeader/>
        </w:trPr>
        <w:tc>
          <w:tcPr>
            <w:tcW w:w="48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0E38369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lastRenderedPageBreak/>
              <w:t>ID</w:t>
            </w:r>
          </w:p>
        </w:tc>
        <w:tc>
          <w:tcPr>
            <w:tcW w:w="1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D9262FF"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KRI Definition</w:t>
            </w:r>
          </w:p>
        </w:tc>
        <w:tc>
          <w:tcPr>
            <w:tcW w:w="15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13EC8FF4"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Metric Name</w:t>
            </w:r>
          </w:p>
        </w:tc>
        <w:tc>
          <w:tcPr>
            <w:tcW w:w="1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755B49C5"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Green</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4A2A0B5E"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Amber</w:t>
            </w:r>
          </w:p>
        </w:tc>
        <w:tc>
          <w:tcPr>
            <w:tcW w:w="9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4A02F847"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Red</w:t>
            </w:r>
          </w:p>
        </w:tc>
        <w:tc>
          <w:tcPr>
            <w:tcW w:w="3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80" w:type="dxa"/>
              <w:bottom w:w="60" w:type="dxa"/>
              <w:right w:w="80" w:type="dxa"/>
            </w:tcMar>
            <w:vAlign w:val="center"/>
          </w:tcPr>
          <w:p w14:paraId="6EFBA18B"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Response Action (Red Threshold Breach)</w:t>
            </w:r>
          </w:p>
        </w:tc>
      </w:tr>
      <w:tr w:rsidR="00746865" w:rsidRPr="00746865" w14:paraId="2AA9CEBA"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6F67C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R5</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EC67E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QoQ digital new policy acquisition growth differential vs. top competitors</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59D38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Market Share Gap Index</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2F14694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0% (stable)</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3D18914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 to -5%</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28A369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&lt; -5% for 2 consecutive quarters</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5E45D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Launch competitive response program: accelerate digital product releases, adjust pricing strategy, increase digital marketing </w:t>
            </w:r>
            <w:proofErr w:type="gramStart"/>
            <w:r w:rsidRPr="00746865">
              <w:rPr>
                <w:rFonts w:asciiTheme="minorHAnsi" w:hAnsiTheme="minorHAnsi"/>
                <w:sz w:val="22"/>
                <w:szCs w:val="22"/>
              </w:rPr>
              <w:t>spend</w:t>
            </w:r>
            <w:proofErr w:type="gramEnd"/>
            <w:r w:rsidRPr="00746865">
              <w:rPr>
                <w:rFonts w:asciiTheme="minorHAnsi" w:hAnsiTheme="minorHAnsi"/>
                <w:sz w:val="22"/>
                <w:szCs w:val="22"/>
              </w:rPr>
              <w:t>. Escalate to CEO and Board.</w:t>
            </w:r>
          </w:p>
        </w:tc>
      </w:tr>
      <w:tr w:rsidR="00746865" w:rsidRPr="00746865" w14:paraId="4CC7F9DC"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6C80F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R6</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9BB9C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Monthly system downtime hours across all core platforms</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32D66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System Downtime Hours</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5658998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&lt; 2 </w:t>
            </w:r>
            <w:proofErr w:type="spellStart"/>
            <w:r w:rsidRPr="00746865">
              <w:rPr>
                <w:rFonts w:asciiTheme="minorHAnsi" w:hAnsiTheme="minorHAnsi"/>
                <w:sz w:val="22"/>
                <w:szCs w:val="22"/>
              </w:rPr>
              <w:t>hrs</w:t>
            </w:r>
            <w:proofErr w:type="spellEnd"/>
            <w:r w:rsidRPr="00746865">
              <w:rPr>
                <w:rFonts w:asciiTheme="minorHAnsi" w:hAnsiTheme="minorHAnsi"/>
                <w:sz w:val="22"/>
                <w:szCs w:val="22"/>
              </w:rPr>
              <w:t>/month</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2006443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2–5 </w:t>
            </w:r>
            <w:proofErr w:type="spellStart"/>
            <w:r w:rsidRPr="00746865">
              <w:rPr>
                <w:rFonts w:asciiTheme="minorHAnsi" w:hAnsiTheme="minorHAnsi"/>
                <w:sz w:val="22"/>
                <w:szCs w:val="22"/>
              </w:rPr>
              <w:t>hrs</w:t>
            </w:r>
            <w:proofErr w:type="spellEnd"/>
            <w:r w:rsidRPr="00746865">
              <w:rPr>
                <w:rFonts w:asciiTheme="minorHAnsi" w:hAnsiTheme="minorHAnsi"/>
                <w:sz w:val="22"/>
                <w:szCs w:val="22"/>
              </w:rPr>
              <w:t>/month</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2B73644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&gt; 5 </w:t>
            </w:r>
            <w:proofErr w:type="spellStart"/>
            <w:r w:rsidRPr="00746865">
              <w:rPr>
                <w:rFonts w:asciiTheme="minorHAnsi" w:hAnsiTheme="minorHAnsi"/>
                <w:sz w:val="22"/>
                <w:szCs w:val="22"/>
              </w:rPr>
              <w:t>hrs</w:t>
            </w:r>
            <w:proofErr w:type="spellEnd"/>
            <w:r w:rsidRPr="00746865">
              <w:rPr>
                <w:rFonts w:asciiTheme="minorHAnsi" w:hAnsiTheme="minorHAnsi"/>
                <w:sz w:val="22"/>
                <w:szCs w:val="22"/>
              </w:rPr>
              <w:t>/month or any critical exploit</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DA7BB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Activate BCP/DR plan, invoke incident response team, notify regulator within 72 </w:t>
            </w:r>
            <w:proofErr w:type="spellStart"/>
            <w:r w:rsidRPr="00746865">
              <w:rPr>
                <w:rFonts w:asciiTheme="minorHAnsi" w:hAnsiTheme="minorHAnsi"/>
                <w:sz w:val="22"/>
                <w:szCs w:val="22"/>
              </w:rPr>
              <w:t>hrs</w:t>
            </w:r>
            <w:proofErr w:type="spellEnd"/>
            <w:r w:rsidRPr="00746865">
              <w:rPr>
                <w:rFonts w:asciiTheme="minorHAnsi" w:hAnsiTheme="minorHAnsi"/>
                <w:sz w:val="22"/>
                <w:szCs w:val="22"/>
              </w:rPr>
              <w:t xml:space="preserve"> per OSFI guidelines, engage cyber insurer. Daily executive updates until resolved.</w:t>
            </w:r>
          </w:p>
        </w:tc>
      </w:tr>
      <w:tr w:rsidR="00746865" w:rsidRPr="00746865" w14:paraId="1D1A9B5B"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C94E7B"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R11</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D48B3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Monthly increase in high-severity cybersecurity vulnerabilities</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ECADB8"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Vulnerability Escalation Rate</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49D13A4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0–10% MoM increase</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7AB62FE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10–20% MoM increase</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3A5896E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&gt; 20% increase or active exploit detected</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A1B14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Immediate security escalation to CIO and CISO, isolate affected systems, initiate third-party forensic review, notify privacy regulator if personal data affected.</w:t>
            </w:r>
          </w:p>
        </w:tc>
      </w:tr>
      <w:tr w:rsidR="00746865" w:rsidRPr="00746865" w14:paraId="52D068E6"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C6AC2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R12</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C63F1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Number of material AI/data compliance exceptions per quarter</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6E10D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Compliance Exception Count</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2988111F"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0 exceptions</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6405A67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1–2 exceptions per quarter</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7D09CD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&gt; 2 exceptions per quarter</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1CD97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Compliance review and control redesign; engage legal and regulatory affairs; report to Risk Committee and Audit Committee; consider voluntary regulator disclosure.</w:t>
            </w:r>
          </w:p>
        </w:tc>
      </w:tr>
      <w:tr w:rsidR="00746865" w:rsidRPr="00746865" w14:paraId="63BFFCEC"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552D41"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R15</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B5C71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Composite score of pending </w:t>
            </w:r>
            <w:r w:rsidRPr="00746865">
              <w:rPr>
                <w:rFonts w:asciiTheme="minorHAnsi" w:hAnsiTheme="minorHAnsi"/>
                <w:sz w:val="22"/>
                <w:szCs w:val="22"/>
              </w:rPr>
              <w:lastRenderedPageBreak/>
              <w:t>regulatory changes requiring product or process redesign</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A3AB3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lastRenderedPageBreak/>
              <w:t xml:space="preserve">Regulatory Change </w:t>
            </w:r>
            <w:r w:rsidRPr="00746865">
              <w:rPr>
                <w:rFonts w:asciiTheme="minorHAnsi" w:hAnsiTheme="minorHAnsi"/>
                <w:sz w:val="22"/>
                <w:szCs w:val="22"/>
              </w:rPr>
              <w:lastRenderedPageBreak/>
              <w:t>Pressure Score</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07EBA87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lastRenderedPageBreak/>
              <w:t>Low (1–3)</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76AA5DA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Moderate (4–6)</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0D8B980"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High (7–10)</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511C8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Executive review and regulatory response program; </w:t>
            </w:r>
            <w:r w:rsidRPr="00746865">
              <w:rPr>
                <w:rFonts w:asciiTheme="minorHAnsi" w:hAnsiTheme="minorHAnsi"/>
                <w:sz w:val="22"/>
                <w:szCs w:val="22"/>
              </w:rPr>
              <w:lastRenderedPageBreak/>
              <w:t>assign dedicated compliance task force; conduct enterprise-wide regulatory impact assessment; update KRI quarterly.</w:t>
            </w:r>
          </w:p>
        </w:tc>
      </w:tr>
      <w:tr w:rsidR="00746865" w:rsidRPr="00746865" w14:paraId="7B92A7B2"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56D09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lastRenderedPageBreak/>
              <w:t>R27</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8C69AD"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Composite enterprise incident severity score across all active high/critical risks</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BED641"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Enterprise Incident Severity Index</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1D2E7599"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2 concurrent high-risk events</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1A623D56"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3–4 concurrent high-risk events</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5D7BC0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5 concurrent or any enterprise-level event</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55EDDB"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Escalate to Board of Directors; activate enterprise-wide BCP; assign executive crisis team; engage external risk advisors; communicate with regulators and key stakeholders.</w:t>
            </w:r>
          </w:p>
        </w:tc>
      </w:tr>
      <w:tr w:rsidR="00746865" w:rsidRPr="00746865" w14:paraId="742D69D0"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386043"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PR1</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D1B14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Quarterly digital policy penetration growth in target Asian markets</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48B8AFA"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Digital Market Penetration Rate</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185F4E8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8% quarterly growth</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1B550D67"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4–7% quarterly growth</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28EFF944"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 xml:space="preserve">&lt; 4% or </w:t>
            </w:r>
            <w:proofErr w:type="gramStart"/>
            <w:r w:rsidRPr="00746865">
              <w:rPr>
                <w:rFonts w:asciiTheme="minorHAnsi" w:hAnsiTheme="minorHAnsi"/>
                <w:sz w:val="22"/>
                <w:szCs w:val="22"/>
              </w:rPr>
              <w:t>declining</w:t>
            </w:r>
            <w:proofErr w:type="gramEnd"/>
            <w:r w:rsidRPr="00746865">
              <w:rPr>
                <w:rFonts w:asciiTheme="minorHAnsi" w:hAnsiTheme="minorHAnsi"/>
                <w:sz w:val="22"/>
                <w:szCs w:val="22"/>
              </w:rPr>
              <w:t xml:space="preserve"> for 2 quarters</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3A7F2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Increase investment in Asian digital channels; redesign market entry strategy; analyze competitive barriers; consider local technology partnerships to accelerate adoption.</w:t>
            </w:r>
          </w:p>
        </w:tc>
      </w:tr>
      <w:tr w:rsidR="00746865" w:rsidRPr="00746865" w14:paraId="1E57252C" w14:textId="77777777" w:rsidTr="009128CE">
        <w:tblPrEx>
          <w:tblCellMar>
            <w:top w:w="0" w:type="dxa"/>
            <w:bottom w:w="0" w:type="dxa"/>
          </w:tblCellMar>
        </w:tblPrEx>
        <w:tc>
          <w:tcPr>
            <w:tcW w:w="48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413E90" w14:textId="77777777" w:rsidR="00746865" w:rsidRPr="00746865" w:rsidRDefault="00746865" w:rsidP="009128CE">
            <w:pPr>
              <w:rPr>
                <w:rFonts w:asciiTheme="minorHAnsi" w:hAnsiTheme="minorHAnsi"/>
                <w:sz w:val="22"/>
                <w:szCs w:val="22"/>
              </w:rPr>
            </w:pPr>
            <w:r w:rsidRPr="00746865">
              <w:rPr>
                <w:rFonts w:asciiTheme="minorHAnsi" w:hAnsiTheme="minorHAnsi"/>
                <w:b/>
                <w:bCs/>
                <w:sz w:val="22"/>
                <w:szCs w:val="22"/>
              </w:rPr>
              <w:t>PR2</w:t>
            </w:r>
          </w:p>
        </w:tc>
        <w:tc>
          <w:tcPr>
            <w:tcW w:w="13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09C04E"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Customer churn rate, digital engagement score, and cross-sell conversion rate (composite)</w:t>
            </w:r>
          </w:p>
        </w:tc>
        <w:tc>
          <w:tcPr>
            <w:tcW w:w="15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232755"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Customer Intelligence Health Score</w:t>
            </w:r>
          </w:p>
        </w:tc>
        <w:tc>
          <w:tcPr>
            <w:tcW w:w="1000" w:type="dxa"/>
            <w:tcBorders>
              <w:top w:val="single" w:sz="4" w:space="0" w:color="999999"/>
              <w:left w:val="single" w:sz="4" w:space="0" w:color="999999"/>
              <w:bottom w:val="single" w:sz="4" w:space="0" w:color="999999"/>
              <w:right w:val="single" w:sz="4" w:space="0" w:color="999999"/>
            </w:tcBorders>
            <w:shd w:val="clear" w:color="auto" w:fill="E2F0D9"/>
            <w:tcMar>
              <w:top w:w="60" w:type="dxa"/>
              <w:left w:w="80" w:type="dxa"/>
              <w:bottom w:w="60" w:type="dxa"/>
              <w:right w:w="80" w:type="dxa"/>
            </w:tcMar>
            <w:vAlign w:val="center"/>
          </w:tcPr>
          <w:p w14:paraId="3FA8CE28" w14:textId="77777777" w:rsidR="00746865" w:rsidRPr="00746865" w:rsidRDefault="00746865" w:rsidP="009128CE">
            <w:pPr>
              <w:rPr>
                <w:rFonts w:asciiTheme="minorHAnsi" w:hAnsiTheme="minorHAnsi"/>
                <w:sz w:val="22"/>
                <w:szCs w:val="22"/>
              </w:rPr>
            </w:pPr>
            <w:proofErr w:type="gramStart"/>
            <w:r w:rsidRPr="00746865">
              <w:rPr>
                <w:rFonts w:asciiTheme="minorHAnsi" w:hAnsiTheme="minorHAnsi"/>
                <w:sz w:val="22"/>
                <w:szCs w:val="22"/>
              </w:rPr>
              <w:t>Improving on</w:t>
            </w:r>
            <w:proofErr w:type="gramEnd"/>
            <w:r w:rsidRPr="00746865">
              <w:rPr>
                <w:rFonts w:asciiTheme="minorHAnsi" w:hAnsiTheme="minorHAnsi"/>
                <w:sz w:val="22"/>
                <w:szCs w:val="22"/>
              </w:rPr>
              <w:t xml:space="preserve"> all 3 metrics</w:t>
            </w:r>
          </w:p>
        </w:tc>
        <w:tc>
          <w:tcPr>
            <w:tcW w:w="900" w:type="dxa"/>
            <w:tcBorders>
              <w:top w:val="single" w:sz="4" w:space="0" w:color="999999"/>
              <w:left w:val="single" w:sz="4" w:space="0" w:color="999999"/>
              <w:bottom w:val="single" w:sz="4" w:space="0" w:color="999999"/>
              <w:right w:val="single" w:sz="4" w:space="0" w:color="999999"/>
            </w:tcBorders>
            <w:shd w:val="clear" w:color="auto" w:fill="FFF3CD"/>
            <w:tcMar>
              <w:top w:w="60" w:type="dxa"/>
              <w:left w:w="80" w:type="dxa"/>
              <w:bottom w:w="60" w:type="dxa"/>
              <w:right w:w="80" w:type="dxa"/>
            </w:tcMar>
            <w:vAlign w:val="center"/>
          </w:tcPr>
          <w:p w14:paraId="49F9AC0C"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Flat on ≥ 1 metric</w:t>
            </w:r>
          </w:p>
        </w:tc>
        <w:tc>
          <w:tcPr>
            <w:tcW w:w="900"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0A4A2832" w14:textId="77777777" w:rsidR="00746865" w:rsidRPr="00746865" w:rsidRDefault="00746865" w:rsidP="009128CE">
            <w:pPr>
              <w:rPr>
                <w:rFonts w:asciiTheme="minorHAnsi" w:hAnsiTheme="minorHAnsi"/>
                <w:sz w:val="22"/>
                <w:szCs w:val="22"/>
              </w:rPr>
            </w:pPr>
            <w:r w:rsidRPr="00746865">
              <w:rPr>
                <w:rFonts w:asciiTheme="minorHAnsi" w:hAnsiTheme="minorHAnsi"/>
                <w:sz w:val="22"/>
                <w:szCs w:val="22"/>
              </w:rPr>
              <w:t>Deteriorating on ≥ 2 metrics</w:t>
            </w:r>
          </w:p>
        </w:tc>
        <w:tc>
          <w:tcPr>
            <w:tcW w:w="316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F4C5DA" w14:textId="77777777" w:rsidR="00746865" w:rsidRPr="00746865" w:rsidRDefault="00746865" w:rsidP="009128CE">
            <w:pPr>
              <w:rPr>
                <w:rFonts w:asciiTheme="minorHAnsi" w:hAnsiTheme="minorHAnsi"/>
                <w:sz w:val="22"/>
                <w:szCs w:val="22"/>
              </w:rPr>
            </w:pPr>
            <w:proofErr w:type="gramStart"/>
            <w:r w:rsidRPr="00746865">
              <w:rPr>
                <w:rFonts w:asciiTheme="minorHAnsi" w:hAnsiTheme="minorHAnsi"/>
                <w:sz w:val="22"/>
                <w:szCs w:val="22"/>
              </w:rPr>
              <w:t>Re-tune</w:t>
            </w:r>
            <w:proofErr w:type="gramEnd"/>
            <w:r w:rsidRPr="00746865">
              <w:rPr>
                <w:rFonts w:asciiTheme="minorHAnsi" w:hAnsiTheme="minorHAnsi"/>
                <w:sz w:val="22"/>
                <w:szCs w:val="22"/>
              </w:rPr>
              <w:t xml:space="preserve"> predictive retention models; increase personalization investment; review digital experience design; executive customer strategy review within 30 days.</w:t>
            </w:r>
          </w:p>
        </w:tc>
      </w:tr>
    </w:tbl>
    <w:p w14:paraId="1039CED2" w14:textId="77777777" w:rsidR="00746865" w:rsidRPr="00746865" w:rsidRDefault="00746865" w:rsidP="00746865">
      <w:pPr>
        <w:spacing w:after="80"/>
        <w:rPr>
          <w:rFonts w:asciiTheme="minorHAnsi" w:hAnsiTheme="minorHAnsi"/>
          <w:sz w:val="22"/>
          <w:szCs w:val="22"/>
        </w:rPr>
      </w:pPr>
    </w:p>
    <w:p w14:paraId="14C00CDB" w14:textId="77777777" w:rsidR="00746865" w:rsidRPr="00746865" w:rsidRDefault="00746865" w:rsidP="00746865">
      <w:pPr>
        <w:spacing w:before="80" w:after="80"/>
        <w:jc w:val="both"/>
        <w:rPr>
          <w:rFonts w:asciiTheme="minorHAnsi" w:hAnsiTheme="minorHAnsi"/>
          <w:sz w:val="22"/>
          <w:szCs w:val="22"/>
        </w:rPr>
      </w:pPr>
      <w:r w:rsidRPr="00746865">
        <w:rPr>
          <w:rFonts w:asciiTheme="minorHAnsi" w:hAnsiTheme="minorHAnsi"/>
          <w:color w:val="000000"/>
          <w:sz w:val="22"/>
          <w:szCs w:val="22"/>
        </w:rPr>
        <w:lastRenderedPageBreak/>
        <w:t xml:space="preserve">Three design principles guided threshold-setting. First, thresholds are calibrated to lead risk events by one to two quarters — signaling deteriorating conditions before they reach crisis levels. Second, Red thresholds are set conservatively enough to avoid excessive false alarms that would cause management to discount KRI signals, while still providing sufficient lead time for meaningful intervention. Third, all KRI thresholds were cross-checked against the logistic regression model's feature importance findings — risks with high-coefficient features were assigned tighter thresholds to reflect their greater predictive sensitivity. The </w:t>
      </w:r>
      <w:proofErr w:type="spellStart"/>
      <w:r w:rsidRPr="00746865">
        <w:rPr>
          <w:rFonts w:asciiTheme="minorHAnsi" w:hAnsiTheme="minorHAnsi"/>
          <w:color w:val="000000"/>
          <w:sz w:val="22"/>
          <w:szCs w:val="22"/>
        </w:rPr>
        <w:t>vulnerability_rate</w:t>
      </w:r>
      <w:proofErr w:type="spellEnd"/>
      <w:r w:rsidRPr="00746865">
        <w:rPr>
          <w:rFonts w:asciiTheme="minorHAnsi" w:hAnsiTheme="minorHAnsi"/>
          <w:color w:val="000000"/>
          <w:sz w:val="22"/>
          <w:szCs w:val="22"/>
        </w:rPr>
        <w:t xml:space="preserve"> KRI for R11, for example, has a relatively tight </w:t>
      </w:r>
      <w:proofErr w:type="gramStart"/>
      <w:r w:rsidRPr="00746865">
        <w:rPr>
          <w:rFonts w:asciiTheme="minorHAnsi" w:hAnsiTheme="minorHAnsi"/>
          <w:color w:val="000000"/>
          <w:sz w:val="22"/>
          <w:szCs w:val="22"/>
        </w:rPr>
        <w:t>Red</w:t>
      </w:r>
      <w:proofErr w:type="gramEnd"/>
      <w:r w:rsidRPr="00746865">
        <w:rPr>
          <w:rFonts w:asciiTheme="minorHAnsi" w:hAnsiTheme="minorHAnsi"/>
          <w:color w:val="000000"/>
          <w:sz w:val="22"/>
          <w:szCs w:val="22"/>
        </w:rPr>
        <w:t xml:space="preserve"> threshold (&gt;20% MoM increase) reflecting its status as the strongest single predictor of risk escalation in the model.</w:t>
      </w:r>
    </w:p>
    <w:p w14:paraId="0FCAAF0A" w14:textId="77777777" w:rsidR="00746865" w:rsidRPr="00746865" w:rsidRDefault="00746865">
      <w:pPr>
        <w:rPr>
          <w:rFonts w:asciiTheme="minorHAnsi" w:hAnsiTheme="minorHAnsi"/>
          <w:sz w:val="22"/>
          <w:szCs w:val="22"/>
        </w:rPr>
      </w:pPr>
    </w:p>
    <w:sectPr w:rsidR="00746865" w:rsidRPr="00746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B260D"/>
    <w:multiLevelType w:val="hybridMultilevel"/>
    <w:tmpl w:val="1938D0DA"/>
    <w:lvl w:ilvl="0" w:tplc="EB7CB106">
      <w:start w:val="1"/>
      <w:numFmt w:val="bullet"/>
      <w:lvlText w:val="•"/>
      <w:lvlJc w:val="left"/>
      <w:pPr>
        <w:ind w:left="720" w:hanging="360"/>
      </w:pPr>
    </w:lvl>
    <w:lvl w:ilvl="1" w:tplc="AD52CBEA">
      <w:start w:val="1"/>
      <w:numFmt w:val="bullet"/>
      <w:lvlText w:val="○"/>
      <w:lvlJc w:val="left"/>
      <w:pPr>
        <w:ind w:left="1080" w:hanging="360"/>
      </w:pPr>
    </w:lvl>
    <w:lvl w:ilvl="2" w:tplc="45F2AF48">
      <w:numFmt w:val="decimal"/>
      <w:lvlText w:val=""/>
      <w:lvlJc w:val="left"/>
    </w:lvl>
    <w:lvl w:ilvl="3" w:tplc="DB4EFF46">
      <w:numFmt w:val="decimal"/>
      <w:lvlText w:val=""/>
      <w:lvlJc w:val="left"/>
    </w:lvl>
    <w:lvl w:ilvl="4" w:tplc="C0A62C02">
      <w:numFmt w:val="decimal"/>
      <w:lvlText w:val=""/>
      <w:lvlJc w:val="left"/>
    </w:lvl>
    <w:lvl w:ilvl="5" w:tplc="CB029B76">
      <w:numFmt w:val="decimal"/>
      <w:lvlText w:val=""/>
      <w:lvlJc w:val="left"/>
    </w:lvl>
    <w:lvl w:ilvl="6" w:tplc="83D63C94">
      <w:numFmt w:val="decimal"/>
      <w:lvlText w:val=""/>
      <w:lvlJc w:val="left"/>
    </w:lvl>
    <w:lvl w:ilvl="7" w:tplc="7ED0687E">
      <w:numFmt w:val="decimal"/>
      <w:lvlText w:val=""/>
      <w:lvlJc w:val="left"/>
    </w:lvl>
    <w:lvl w:ilvl="8" w:tplc="3404E640">
      <w:numFmt w:val="decimal"/>
      <w:lvlText w:val=""/>
      <w:lvlJc w:val="left"/>
    </w:lvl>
  </w:abstractNum>
  <w:num w:numId="1" w16cid:durableId="9812312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65"/>
    <w:rsid w:val="00746865"/>
    <w:rsid w:val="00923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1EE8"/>
  <w15:chartTrackingRefBased/>
  <w15:docId w15:val="{FE6A16F6-3B7E-4B84-B25F-6CD2838C8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865"/>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746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6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6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6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68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8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8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8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6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6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6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865"/>
    <w:rPr>
      <w:rFonts w:eastAsiaTheme="majorEastAsia" w:cstheme="majorBidi"/>
      <w:color w:val="272727" w:themeColor="text1" w:themeTint="D8"/>
    </w:rPr>
  </w:style>
  <w:style w:type="paragraph" w:styleId="Title">
    <w:name w:val="Title"/>
    <w:basedOn w:val="Normal"/>
    <w:next w:val="Normal"/>
    <w:link w:val="TitleChar"/>
    <w:uiPriority w:val="10"/>
    <w:qFormat/>
    <w:rsid w:val="007468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865"/>
    <w:pPr>
      <w:spacing w:before="160"/>
      <w:jc w:val="center"/>
    </w:pPr>
    <w:rPr>
      <w:i/>
      <w:iCs/>
      <w:color w:val="404040" w:themeColor="text1" w:themeTint="BF"/>
    </w:rPr>
  </w:style>
  <w:style w:type="character" w:customStyle="1" w:styleId="QuoteChar">
    <w:name w:val="Quote Char"/>
    <w:basedOn w:val="DefaultParagraphFont"/>
    <w:link w:val="Quote"/>
    <w:uiPriority w:val="29"/>
    <w:rsid w:val="00746865"/>
    <w:rPr>
      <w:i/>
      <w:iCs/>
      <w:color w:val="404040" w:themeColor="text1" w:themeTint="BF"/>
    </w:rPr>
  </w:style>
  <w:style w:type="paragraph" w:styleId="ListParagraph">
    <w:name w:val="List Paragraph"/>
    <w:basedOn w:val="Normal"/>
    <w:qFormat/>
    <w:rsid w:val="00746865"/>
    <w:pPr>
      <w:ind w:left="720"/>
      <w:contextualSpacing/>
    </w:pPr>
  </w:style>
  <w:style w:type="character" w:styleId="IntenseEmphasis">
    <w:name w:val="Intense Emphasis"/>
    <w:basedOn w:val="DefaultParagraphFont"/>
    <w:uiPriority w:val="21"/>
    <w:qFormat/>
    <w:rsid w:val="00746865"/>
    <w:rPr>
      <w:i/>
      <w:iCs/>
      <w:color w:val="0F4761" w:themeColor="accent1" w:themeShade="BF"/>
    </w:rPr>
  </w:style>
  <w:style w:type="paragraph" w:styleId="IntenseQuote">
    <w:name w:val="Intense Quote"/>
    <w:basedOn w:val="Normal"/>
    <w:next w:val="Normal"/>
    <w:link w:val="IntenseQuoteChar"/>
    <w:uiPriority w:val="30"/>
    <w:qFormat/>
    <w:rsid w:val="00746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865"/>
    <w:rPr>
      <w:i/>
      <w:iCs/>
      <w:color w:val="0F4761" w:themeColor="accent1" w:themeShade="BF"/>
    </w:rPr>
  </w:style>
  <w:style w:type="character" w:styleId="IntenseReference">
    <w:name w:val="Intense Reference"/>
    <w:basedOn w:val="DefaultParagraphFont"/>
    <w:uiPriority w:val="32"/>
    <w:qFormat/>
    <w:rsid w:val="007468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4388</Words>
  <Characters>25016</Characters>
  <Application>Microsoft Office Word</Application>
  <DocSecurity>0</DocSecurity>
  <Lines>208</Lines>
  <Paragraphs>58</Paragraphs>
  <ScaleCrop>false</ScaleCrop>
  <Company/>
  <LinksUpToDate>false</LinksUpToDate>
  <CharactersWithSpaces>29346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Sheriff IK</dc:creator>
  <cp:keywords/>
  <dc:description/>
  <cp:lastModifiedBy>Sheriff IK</cp:lastModifiedBy>
  <cp:revision>1</cp:revision>
  <dcterms:created xsi:type="dcterms:W3CDTF">2026-03-30T15:13:00Z</dcterms:created>
  <dcterms:modified xsi:type="dcterms:W3CDTF">2026-03-30T15:21:00Z</dcterms:modified>
</cp:coreProperties>
</file>