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15CA" w14:textId="77777777" w:rsidR="00F51C02" w:rsidRPr="00F51C02" w:rsidRDefault="00F51C02" w:rsidP="00F51C02">
      <w:pPr>
        <w:pStyle w:val="Heading1"/>
        <w:rPr>
          <w:rFonts w:asciiTheme="minorHAnsi" w:hAnsiTheme="minorHAnsi"/>
          <w:sz w:val="28"/>
          <w:szCs w:val="28"/>
        </w:rPr>
      </w:pPr>
      <w:r w:rsidRPr="00F51C02">
        <w:rPr>
          <w:rFonts w:asciiTheme="minorHAnsi" w:hAnsiTheme="minorHAnsi"/>
          <w:sz w:val="28"/>
          <w:szCs w:val="28"/>
        </w:rPr>
        <w:t>Risk Identification – Competitive Risks</w:t>
      </w:r>
    </w:p>
    <w:p w14:paraId="6DA5BEA6" w14:textId="77777777" w:rsidR="00F51C02" w:rsidRPr="002B7E22" w:rsidRDefault="00F51C02" w:rsidP="00F51C02">
      <w:r w:rsidRPr="002B7E22">
        <w:t>Company: Manulife Financial</w:t>
      </w:r>
    </w:p>
    <w:p w14:paraId="0A8FD61A" w14:textId="77777777" w:rsidR="00F51C02" w:rsidRPr="002B7E22" w:rsidRDefault="00F51C02" w:rsidP="00F51C02">
      <w:r w:rsidRPr="002B7E22">
        <w:t>Industry: Insurance &amp; Financial Services</w:t>
      </w:r>
    </w:p>
    <w:p w14:paraId="4B155738" w14:textId="77777777" w:rsidR="00F51C02" w:rsidRPr="002B7E22" w:rsidRDefault="00F51C02" w:rsidP="00F51C02">
      <w:r w:rsidRPr="002B7E22">
        <w:t>Focus: Competitive Risks based on SWOT Analysis</w:t>
      </w:r>
      <w:r w:rsidRPr="002B7E22">
        <w:br/>
      </w:r>
    </w:p>
    <w:p w14:paraId="0CBFECE4" w14:textId="77777777" w:rsidR="00F51C02" w:rsidRPr="00F51C02" w:rsidRDefault="00F51C02" w:rsidP="00F51C02">
      <w:pPr>
        <w:pStyle w:val="Heading2"/>
        <w:rPr>
          <w:rFonts w:asciiTheme="minorHAnsi" w:hAnsiTheme="minorHAnsi"/>
          <w:sz w:val="24"/>
          <w:szCs w:val="24"/>
        </w:rPr>
      </w:pPr>
      <w:r w:rsidRPr="00F51C02">
        <w:rPr>
          <w:rFonts w:asciiTheme="minorHAnsi" w:hAnsiTheme="minorHAnsi"/>
          <w:sz w:val="24"/>
          <w:szCs w:val="24"/>
        </w:rPr>
        <w:t>Risk 1 – Negative (Fintech Competition)</w:t>
      </w:r>
    </w:p>
    <w:p w14:paraId="39EFAFBC" w14:textId="77777777" w:rsidR="00F51C02" w:rsidRPr="00B614D6" w:rsidRDefault="00F51C02" w:rsidP="00F51C02">
      <w:pPr>
        <w:rPr>
          <w:b/>
          <w:bCs/>
        </w:rPr>
      </w:pPr>
      <w:r w:rsidRPr="00B614D6">
        <w:rPr>
          <w:b/>
          <w:bCs/>
        </w:rPr>
        <w:t>Competitive Digital Market Share Erosion</w:t>
      </w:r>
    </w:p>
    <w:p w14:paraId="3B358F05" w14:textId="77777777" w:rsidR="00F51C02" w:rsidRDefault="00F51C02" w:rsidP="00F51C02">
      <w:r w:rsidRPr="00B614D6">
        <w:rPr>
          <w:b/>
          <w:bCs/>
        </w:rPr>
        <w:t>Risk Statement:</w:t>
      </w:r>
      <w:r w:rsidRPr="002B7E22">
        <w:t xml:space="preserve"> </w:t>
      </w:r>
      <w:r w:rsidRPr="00FA0E0B">
        <w:t>The risk of sustained digital market share erosion caused by faster innovation cycles and pricing agility from AI-native competitors may result in reduced premium growth, margin compression and weakened long-term competitive positioning.</w:t>
      </w:r>
    </w:p>
    <w:p w14:paraId="10BC96D9" w14:textId="77777777" w:rsidR="00F51C02" w:rsidRPr="00B614D6" w:rsidRDefault="00F51C02" w:rsidP="00F51C02">
      <w:pPr>
        <w:rPr>
          <w:b/>
          <w:bCs/>
        </w:rPr>
      </w:pPr>
      <w:r w:rsidRPr="00B614D6">
        <w:rPr>
          <w:b/>
          <w:bCs/>
        </w:rPr>
        <w:t xml:space="preserve">Impact Statement: </w:t>
      </w:r>
    </w:p>
    <w:p w14:paraId="2DF3C91E" w14:textId="77777777" w:rsidR="00F51C02" w:rsidRPr="00FA0E0B" w:rsidRDefault="00F51C02" w:rsidP="00F51C02">
      <w:pPr>
        <w:rPr>
          <w:lang w:val="en-CA"/>
        </w:rPr>
      </w:pPr>
      <w:r w:rsidRPr="00FA0E0B">
        <w:rPr>
          <w:lang w:val="en-CA"/>
        </w:rPr>
        <w:t>If this risk materializes:</w:t>
      </w:r>
    </w:p>
    <w:p w14:paraId="7C7745E8" w14:textId="77777777" w:rsidR="00F51C02" w:rsidRPr="00FA0E0B" w:rsidRDefault="00F51C02" w:rsidP="00F51C02">
      <w:pPr>
        <w:numPr>
          <w:ilvl w:val="0"/>
          <w:numId w:val="1"/>
        </w:numPr>
        <w:rPr>
          <w:lang w:val="en-CA"/>
        </w:rPr>
      </w:pPr>
      <w:r w:rsidRPr="00FA0E0B">
        <w:rPr>
          <w:lang w:val="en-CA"/>
        </w:rPr>
        <w:t>Financial: Decline in premium growth rate and increased customer acquisition cost (CAC)</w:t>
      </w:r>
    </w:p>
    <w:p w14:paraId="06C1D676" w14:textId="77777777" w:rsidR="00F51C02" w:rsidRPr="00FA0E0B" w:rsidRDefault="00F51C02" w:rsidP="00F51C02">
      <w:pPr>
        <w:numPr>
          <w:ilvl w:val="0"/>
          <w:numId w:val="1"/>
        </w:numPr>
        <w:rPr>
          <w:lang w:val="en-CA"/>
        </w:rPr>
      </w:pPr>
      <w:r w:rsidRPr="00FA0E0B">
        <w:rPr>
          <w:lang w:val="en-CA"/>
        </w:rPr>
        <w:t>Strategic: Loss of competitive positioning in AI underwriting</w:t>
      </w:r>
    </w:p>
    <w:p w14:paraId="554D2609" w14:textId="77777777" w:rsidR="00F51C02" w:rsidRPr="00FA0E0B" w:rsidRDefault="00F51C02" w:rsidP="00F51C02">
      <w:pPr>
        <w:numPr>
          <w:ilvl w:val="0"/>
          <w:numId w:val="1"/>
        </w:numPr>
        <w:rPr>
          <w:lang w:val="en-CA"/>
        </w:rPr>
      </w:pPr>
      <w:r w:rsidRPr="00FA0E0B">
        <w:rPr>
          <w:lang w:val="en-CA"/>
        </w:rPr>
        <w:t>Operational: Increased marketing and innovation spend to defend share</w:t>
      </w:r>
    </w:p>
    <w:p w14:paraId="0BB917D1" w14:textId="77777777" w:rsidR="00F51C02" w:rsidRPr="00FA0E0B" w:rsidRDefault="00F51C02" w:rsidP="00F51C02">
      <w:pPr>
        <w:rPr>
          <w:lang w:val="en-CA"/>
        </w:rPr>
      </w:pPr>
      <w:r w:rsidRPr="00FA0E0B">
        <w:rPr>
          <w:lang w:val="en-CA"/>
        </w:rPr>
        <w:t>Impact Type: Financial + Strategic + Operational</w:t>
      </w:r>
    </w:p>
    <w:p w14:paraId="56D359A8" w14:textId="77777777" w:rsidR="00F51C02" w:rsidRPr="00FA0E0B" w:rsidRDefault="00F51C02" w:rsidP="00F51C02">
      <w:pPr>
        <w:rPr>
          <w:lang w:val="en-CA"/>
        </w:rPr>
      </w:pPr>
      <w:r w:rsidRPr="00B614D6">
        <w:rPr>
          <w:b/>
          <w:bCs/>
        </w:rPr>
        <w:t>Problem Statement:</w:t>
      </w:r>
      <w:r w:rsidRPr="002B7E22">
        <w:t xml:space="preserve"> </w:t>
      </w:r>
      <w:r w:rsidRPr="00FA0E0B">
        <w:rPr>
          <w:lang w:val="en-CA"/>
        </w:rPr>
        <w:t>Aggressive expansion by AI-native fintech insurers in Asia and North America is accelerating digital customer acquisition and pricing innovation, creating competitive pressure on Manulife’s digital premium growth trajectory.</w:t>
      </w:r>
    </w:p>
    <w:p w14:paraId="05236CBC" w14:textId="77777777" w:rsidR="00F51C02" w:rsidRPr="00FA0E0B" w:rsidRDefault="00F51C02" w:rsidP="00F51C02">
      <w:pPr>
        <w:rPr>
          <w:lang w:val="en-CA"/>
        </w:rPr>
      </w:pPr>
      <w:r w:rsidRPr="00FA0E0B">
        <w:rPr>
          <w:lang w:val="en-CA"/>
        </w:rPr>
        <w:t>This requires monitoring because digital competitors operate with lower legacy infrastructure costs and faster innovation cycles.</w:t>
      </w:r>
    </w:p>
    <w:p w14:paraId="3B0F0E96" w14:textId="77777777" w:rsidR="00F51C02" w:rsidRPr="00B614D6" w:rsidRDefault="00F51C02" w:rsidP="00F51C02">
      <w:pPr>
        <w:rPr>
          <w:lang w:val="en-CA"/>
        </w:rPr>
      </w:pPr>
      <w:r w:rsidRPr="00B614D6">
        <w:rPr>
          <w:b/>
          <w:bCs/>
        </w:rPr>
        <w:t>Key Risk Indicator (KRI):</w:t>
      </w:r>
      <w:r w:rsidRPr="002B7E22">
        <w:t xml:space="preserve"> </w:t>
      </w:r>
      <w:r w:rsidRPr="00B614D6">
        <w:rPr>
          <w:lang w:val="en-CA"/>
        </w:rPr>
        <w:t>Quarter-over-Quarter Digital New Policy Acquisition Growth Differential vs. Top 3 Competitors</w:t>
      </w:r>
    </w:p>
    <w:p w14:paraId="4BAF635D" w14:textId="77777777" w:rsidR="00F51C02" w:rsidRPr="00FA0E0B" w:rsidRDefault="00F51C02" w:rsidP="00F51C02">
      <w:pPr>
        <w:rPr>
          <w:lang w:val="en-CA"/>
        </w:rPr>
      </w:pPr>
      <w:r w:rsidRPr="00FA0E0B">
        <w:rPr>
          <w:lang w:val="en-CA"/>
        </w:rPr>
        <w:t>Why this is better:</w:t>
      </w:r>
      <w:r w:rsidRPr="00FA0E0B">
        <w:rPr>
          <w:lang w:val="en-CA"/>
        </w:rPr>
        <w:br/>
        <w:t>It predicts erosion before churn appears.</w:t>
      </w:r>
    </w:p>
    <w:p w14:paraId="2283BC95" w14:textId="77777777" w:rsidR="00F51C02" w:rsidRPr="00B614D6" w:rsidRDefault="00F51C02" w:rsidP="00F51C02">
      <w:pPr>
        <w:rPr>
          <w:b/>
          <w:bCs/>
          <w:lang w:val="en-CA"/>
        </w:rPr>
      </w:pPr>
      <w:r w:rsidRPr="00B614D6">
        <w:rPr>
          <w:b/>
          <w:bCs/>
          <w:lang w:val="en-CA"/>
        </w:rPr>
        <w:t>Thresholds (Risk Appetite-Based)</w:t>
      </w:r>
    </w:p>
    <w:p w14:paraId="32E652C8" w14:textId="77777777" w:rsidR="00F51C02" w:rsidRPr="00B614D6" w:rsidRDefault="00F51C02" w:rsidP="00F51C02">
      <w:pPr>
        <w:rPr>
          <w:lang w:val="en-CA"/>
        </w:rPr>
      </w:pPr>
      <w:r w:rsidRPr="00B614D6">
        <w:rPr>
          <w:lang w:val="en-CA"/>
        </w:rPr>
        <w:t>Green: Manulife growth ≥ industry average</w:t>
      </w:r>
      <w:r w:rsidRPr="00B614D6">
        <w:rPr>
          <w:lang w:val="en-CA"/>
        </w:rPr>
        <w:br/>
        <w:t xml:space="preserve">Amber: </w:t>
      </w:r>
      <w:r>
        <w:rPr>
          <w:lang w:val="en-CA"/>
        </w:rPr>
        <w:t>0</w:t>
      </w:r>
      <w:r w:rsidRPr="00B614D6">
        <w:rPr>
          <w:lang w:val="en-CA"/>
        </w:rPr>
        <w:t>–5% below industry average</w:t>
      </w:r>
      <w:r w:rsidRPr="00B614D6">
        <w:rPr>
          <w:lang w:val="en-CA"/>
        </w:rPr>
        <w:br/>
        <w:t>Red: &gt;5% below industry average for two consecutive quarters</w:t>
      </w:r>
    </w:p>
    <w:tbl>
      <w:tblPr>
        <w:tblpPr w:leftFromText="180" w:rightFromText="180" w:horzAnchor="margin" w:tblpXSpec="center" w:tblpY="-390"/>
        <w:tblW w:w="114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1392"/>
        <w:gridCol w:w="1625"/>
        <w:gridCol w:w="1292"/>
        <w:gridCol w:w="1402"/>
        <w:gridCol w:w="1294"/>
        <w:gridCol w:w="1152"/>
        <w:gridCol w:w="1099"/>
        <w:gridCol w:w="1696"/>
      </w:tblGrid>
      <w:tr w:rsidR="00BD6756" w:rsidRPr="00E04CF3" w14:paraId="5F0FA3EB" w14:textId="77777777" w:rsidTr="00BD6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ABFA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lastRenderedPageBreak/>
              <w:t>Risk ID</w:t>
            </w:r>
          </w:p>
        </w:tc>
        <w:tc>
          <w:tcPr>
            <w:tcW w:w="1362" w:type="dxa"/>
            <w:vAlign w:val="center"/>
            <w:hideMark/>
          </w:tcPr>
          <w:p w14:paraId="4BFC75A7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2F3A6DCC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Risk Statement</w:t>
            </w:r>
          </w:p>
        </w:tc>
        <w:tc>
          <w:tcPr>
            <w:tcW w:w="1262" w:type="dxa"/>
            <w:vAlign w:val="center"/>
            <w:hideMark/>
          </w:tcPr>
          <w:p w14:paraId="6F92F4B0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Impact Type</w:t>
            </w:r>
          </w:p>
        </w:tc>
        <w:tc>
          <w:tcPr>
            <w:tcW w:w="1372" w:type="dxa"/>
            <w:vAlign w:val="center"/>
            <w:hideMark/>
          </w:tcPr>
          <w:p w14:paraId="73C1EC03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71881477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KRI</w:t>
            </w:r>
          </w:p>
        </w:tc>
        <w:tc>
          <w:tcPr>
            <w:tcW w:w="0" w:type="auto"/>
            <w:vAlign w:val="center"/>
            <w:hideMark/>
          </w:tcPr>
          <w:p w14:paraId="0C86104C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Green Threshold</w:t>
            </w:r>
          </w:p>
        </w:tc>
        <w:tc>
          <w:tcPr>
            <w:tcW w:w="0" w:type="auto"/>
            <w:vAlign w:val="center"/>
            <w:hideMark/>
          </w:tcPr>
          <w:p w14:paraId="0E2BD8DA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Amber Threshold</w:t>
            </w:r>
          </w:p>
        </w:tc>
        <w:tc>
          <w:tcPr>
            <w:tcW w:w="1651" w:type="dxa"/>
            <w:vAlign w:val="center"/>
            <w:hideMark/>
          </w:tcPr>
          <w:p w14:paraId="432AE13C" w14:textId="77777777" w:rsidR="00BD6756" w:rsidRPr="00E04CF3" w:rsidRDefault="00BD6756" w:rsidP="00BD6756">
            <w:pPr>
              <w:rPr>
                <w:b/>
                <w:bCs/>
                <w:lang w:val="en-CA"/>
              </w:rPr>
            </w:pPr>
            <w:r w:rsidRPr="00E04CF3">
              <w:rPr>
                <w:b/>
                <w:bCs/>
                <w:lang w:val="en-CA"/>
              </w:rPr>
              <w:t>Red Threshold</w:t>
            </w:r>
          </w:p>
        </w:tc>
      </w:tr>
      <w:tr w:rsidR="00BD6756" w:rsidRPr="00E04CF3" w14:paraId="6CF55505" w14:textId="77777777" w:rsidTr="00BD6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6880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R1</w:t>
            </w:r>
          </w:p>
        </w:tc>
        <w:tc>
          <w:tcPr>
            <w:tcW w:w="1362" w:type="dxa"/>
            <w:vAlign w:val="center"/>
            <w:hideMark/>
          </w:tcPr>
          <w:p w14:paraId="6E85F98C" w14:textId="77777777" w:rsidR="00BD6756" w:rsidRPr="00E04CF3" w:rsidRDefault="00BD6756" w:rsidP="00BD6756">
            <w:pPr>
              <w:tabs>
                <w:tab w:val="left" w:pos="1030"/>
              </w:tabs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Negative – Competitive Market Risk</w:t>
            </w:r>
          </w:p>
        </w:tc>
        <w:tc>
          <w:tcPr>
            <w:tcW w:w="0" w:type="auto"/>
            <w:vAlign w:val="center"/>
            <w:hideMark/>
          </w:tcPr>
          <w:p w14:paraId="24C3643A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The risk of sustained digital market share erosion caused by faster innovation cycles and pricing agility from AI-native competitors may result in reduced premium growth, margin compression, and weakened long-term competitive positioning.</w:t>
            </w:r>
          </w:p>
        </w:tc>
        <w:tc>
          <w:tcPr>
            <w:tcW w:w="1262" w:type="dxa"/>
            <w:vAlign w:val="center"/>
            <w:hideMark/>
          </w:tcPr>
          <w:p w14:paraId="76E8BBFD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Financial + Strategic + Operational</w:t>
            </w:r>
          </w:p>
        </w:tc>
        <w:tc>
          <w:tcPr>
            <w:tcW w:w="1372" w:type="dxa"/>
            <w:vAlign w:val="center"/>
            <w:hideMark/>
          </w:tcPr>
          <w:p w14:paraId="5980DE95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Aggressive expansion by AI-native fintech insurers in Asia and North America is accelerating digital customer acquisition and pricing innovation, creating competitive pressure on Manulife’s digital premium growth trajectory.</w:t>
            </w:r>
          </w:p>
        </w:tc>
        <w:tc>
          <w:tcPr>
            <w:tcW w:w="0" w:type="auto"/>
            <w:vAlign w:val="center"/>
            <w:hideMark/>
          </w:tcPr>
          <w:p w14:paraId="3FE7D5C4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Quarter-over-Quarter Digital New Policy Acquisition Growth Differential vs Top 3 Competitors</w:t>
            </w:r>
          </w:p>
        </w:tc>
        <w:tc>
          <w:tcPr>
            <w:tcW w:w="0" w:type="auto"/>
            <w:vAlign w:val="center"/>
            <w:hideMark/>
          </w:tcPr>
          <w:p w14:paraId="3C009FAA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≥ 0% differential (equal to or above competitor average)</w:t>
            </w:r>
          </w:p>
        </w:tc>
        <w:tc>
          <w:tcPr>
            <w:tcW w:w="0" w:type="auto"/>
            <w:vAlign w:val="center"/>
            <w:hideMark/>
          </w:tcPr>
          <w:p w14:paraId="7EF9FFF7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0% to -5% differential</w:t>
            </w:r>
          </w:p>
        </w:tc>
        <w:tc>
          <w:tcPr>
            <w:tcW w:w="1651" w:type="dxa"/>
            <w:vAlign w:val="center"/>
            <w:hideMark/>
          </w:tcPr>
          <w:p w14:paraId="57DDA44F" w14:textId="77777777" w:rsidR="00BD6756" w:rsidRPr="00E04CF3" w:rsidRDefault="00BD6756" w:rsidP="00BD6756">
            <w:pPr>
              <w:rPr>
                <w:sz w:val="20"/>
                <w:szCs w:val="20"/>
                <w:lang w:val="en-CA"/>
              </w:rPr>
            </w:pPr>
            <w:r w:rsidRPr="00E04CF3">
              <w:rPr>
                <w:sz w:val="20"/>
                <w:szCs w:val="20"/>
                <w:lang w:val="en-CA"/>
              </w:rPr>
              <w:t>&lt; -5% differential for two consecutive quarters</w:t>
            </w:r>
          </w:p>
        </w:tc>
      </w:tr>
    </w:tbl>
    <w:p w14:paraId="22B2B31A" w14:textId="77777777" w:rsidR="00F51C02" w:rsidRDefault="00F51C02"/>
    <w:sectPr w:rsidR="00F51C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4F3"/>
    <w:multiLevelType w:val="multilevel"/>
    <w:tmpl w:val="AFF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22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02"/>
    <w:rsid w:val="00521A85"/>
    <w:rsid w:val="00BD6756"/>
    <w:rsid w:val="00F5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0912"/>
  <w15:chartTrackingRefBased/>
  <w15:docId w15:val="{84D40D2A-D02C-49A3-BEA8-5F14B7A4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0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Amoo</dc:creator>
  <cp:keywords/>
  <dc:description/>
  <cp:lastModifiedBy>Derrick Amoo</cp:lastModifiedBy>
  <cp:revision>2</cp:revision>
  <dcterms:created xsi:type="dcterms:W3CDTF">2026-03-03T21:37:00Z</dcterms:created>
  <dcterms:modified xsi:type="dcterms:W3CDTF">2026-03-03T21:39:00Z</dcterms:modified>
</cp:coreProperties>
</file>