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915E9" w14:textId="77777777" w:rsidR="00540FE7" w:rsidRPr="001757B1" w:rsidRDefault="00540FE7" w:rsidP="00540FE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757B1">
        <w:rPr>
          <w:rFonts w:ascii="Times New Roman" w:hAnsi="Times New Roman" w:cs="Times New Roman"/>
          <w:b/>
          <w:bCs/>
          <w:sz w:val="32"/>
          <w:szCs w:val="32"/>
        </w:rPr>
        <w:t>Risk Mapping Analysis</w:t>
      </w:r>
    </w:p>
    <w:p w14:paraId="4ABA4CAF" w14:textId="77777777" w:rsidR="00540FE7" w:rsidRPr="001757B1" w:rsidRDefault="00540FE7" w:rsidP="00540FE7">
      <w:pPr>
        <w:rPr>
          <w:rFonts w:ascii="Times New Roman" w:hAnsi="Times New Roman" w:cs="Times New Roman"/>
        </w:rPr>
      </w:pPr>
      <w:r w:rsidRPr="001757B1">
        <w:rPr>
          <w:rFonts w:ascii="Times New Roman" w:hAnsi="Times New Roman" w:cs="Times New Roman"/>
        </w:rPr>
        <w:t xml:space="preserve">The heat map shows a clear concentration of the most serious risks in the </w:t>
      </w:r>
      <w:r w:rsidRPr="001757B1">
        <w:rPr>
          <w:rFonts w:ascii="Times New Roman" w:hAnsi="Times New Roman" w:cs="Times New Roman"/>
          <w:b/>
          <w:bCs/>
        </w:rPr>
        <w:t>upper-right portion of the chart</w:t>
      </w:r>
      <w:r w:rsidRPr="001757B1">
        <w:rPr>
          <w:rFonts w:ascii="Times New Roman" w:hAnsi="Times New Roman" w:cs="Times New Roman"/>
        </w:rPr>
        <w:t>, where both likelihood and impact are high. These risks include:</w:t>
      </w:r>
    </w:p>
    <w:p w14:paraId="681CA286" w14:textId="77777777" w:rsidR="00540FE7" w:rsidRPr="001757B1" w:rsidRDefault="00540FE7" w:rsidP="00540FE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757B1">
        <w:rPr>
          <w:rFonts w:ascii="Times New Roman" w:hAnsi="Times New Roman" w:cs="Times New Roman"/>
          <w:b/>
          <w:bCs/>
        </w:rPr>
        <w:t>Risk 5 (81)</w:t>
      </w:r>
    </w:p>
    <w:p w14:paraId="2D93DD6D" w14:textId="77777777" w:rsidR="00540FE7" w:rsidRPr="001757B1" w:rsidRDefault="00540FE7" w:rsidP="00540FE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757B1">
        <w:rPr>
          <w:rFonts w:ascii="Times New Roman" w:hAnsi="Times New Roman" w:cs="Times New Roman"/>
          <w:b/>
          <w:bCs/>
        </w:rPr>
        <w:t>Risk 6 (54)</w:t>
      </w:r>
    </w:p>
    <w:p w14:paraId="1CA263E9" w14:textId="77777777" w:rsidR="00540FE7" w:rsidRPr="001757B1" w:rsidRDefault="00540FE7" w:rsidP="00540FE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757B1">
        <w:rPr>
          <w:rFonts w:ascii="Times New Roman" w:hAnsi="Times New Roman" w:cs="Times New Roman"/>
          <w:b/>
          <w:bCs/>
        </w:rPr>
        <w:t>Risk 12 (63)</w:t>
      </w:r>
    </w:p>
    <w:p w14:paraId="1CDF95CC" w14:textId="77777777" w:rsidR="00540FE7" w:rsidRPr="001757B1" w:rsidRDefault="00540FE7" w:rsidP="00540FE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757B1">
        <w:rPr>
          <w:rFonts w:ascii="Times New Roman" w:hAnsi="Times New Roman" w:cs="Times New Roman"/>
          <w:b/>
          <w:bCs/>
        </w:rPr>
        <w:t>Risk 15 (72)</w:t>
      </w:r>
    </w:p>
    <w:p w14:paraId="488276C5" w14:textId="77777777" w:rsidR="00540FE7" w:rsidRPr="001757B1" w:rsidRDefault="00540FE7" w:rsidP="00540FE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757B1">
        <w:rPr>
          <w:rFonts w:ascii="Times New Roman" w:hAnsi="Times New Roman" w:cs="Times New Roman"/>
          <w:b/>
          <w:bCs/>
        </w:rPr>
        <w:t>Risk 27 (81)</w:t>
      </w:r>
    </w:p>
    <w:p w14:paraId="50133E3B" w14:textId="77777777" w:rsidR="00540FE7" w:rsidRPr="001757B1" w:rsidRDefault="00540FE7" w:rsidP="00540FE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757B1">
        <w:rPr>
          <w:rFonts w:ascii="Times New Roman" w:hAnsi="Times New Roman" w:cs="Times New Roman"/>
          <w:b/>
          <w:bCs/>
        </w:rPr>
        <w:t>Risk 28 (45)</w:t>
      </w:r>
    </w:p>
    <w:p w14:paraId="0D472F09" w14:textId="77777777" w:rsidR="00540FE7" w:rsidRPr="001757B1" w:rsidRDefault="00540FE7" w:rsidP="00540FE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757B1">
        <w:rPr>
          <w:rFonts w:ascii="Times New Roman" w:hAnsi="Times New Roman" w:cs="Times New Roman"/>
          <w:b/>
          <w:bCs/>
        </w:rPr>
        <w:t>Risk 30 (42)</w:t>
      </w:r>
    </w:p>
    <w:p w14:paraId="7EE41853" w14:textId="77777777" w:rsidR="00540FE7" w:rsidRPr="001757B1" w:rsidRDefault="00540FE7" w:rsidP="00540FE7">
      <w:pPr>
        <w:rPr>
          <w:rFonts w:ascii="Times New Roman" w:hAnsi="Times New Roman" w:cs="Times New Roman"/>
        </w:rPr>
      </w:pPr>
      <w:r w:rsidRPr="001757B1">
        <w:rPr>
          <w:rFonts w:ascii="Times New Roman" w:hAnsi="Times New Roman" w:cs="Times New Roman"/>
        </w:rPr>
        <w:t xml:space="preserve">These risks are classified as </w:t>
      </w:r>
      <w:r w:rsidRPr="001757B1">
        <w:rPr>
          <w:rFonts w:ascii="Times New Roman" w:hAnsi="Times New Roman" w:cs="Times New Roman"/>
          <w:b/>
          <w:bCs/>
        </w:rPr>
        <w:t>high risk</w:t>
      </w:r>
      <w:r w:rsidRPr="001757B1">
        <w:rPr>
          <w:rFonts w:ascii="Times New Roman" w:hAnsi="Times New Roman" w:cs="Times New Roman"/>
        </w:rPr>
        <w:t xml:space="preserve"> because they combine either very high probability, very high impact, or both. They represent the areas where management attention, mitigation planning and continuous monitoring are most needed.</w:t>
      </w:r>
    </w:p>
    <w:p w14:paraId="0F8620DD" w14:textId="77777777" w:rsidR="00540FE7" w:rsidRPr="001757B1" w:rsidRDefault="00540FE7" w:rsidP="00540FE7">
      <w:pPr>
        <w:rPr>
          <w:rFonts w:ascii="Times New Roman" w:hAnsi="Times New Roman" w:cs="Times New Roman"/>
        </w:rPr>
      </w:pPr>
      <w:r w:rsidRPr="001757B1">
        <w:rPr>
          <w:rFonts w:ascii="Times New Roman" w:hAnsi="Times New Roman" w:cs="Times New Roman"/>
        </w:rPr>
        <w:t xml:space="preserve">The </w:t>
      </w:r>
      <w:r w:rsidRPr="001757B1">
        <w:rPr>
          <w:rFonts w:ascii="Times New Roman" w:hAnsi="Times New Roman" w:cs="Times New Roman"/>
          <w:b/>
          <w:bCs/>
        </w:rPr>
        <w:t>moderate-risk zone</w:t>
      </w:r>
      <w:r w:rsidRPr="001757B1">
        <w:rPr>
          <w:rFonts w:ascii="Times New Roman" w:hAnsi="Times New Roman" w:cs="Times New Roman"/>
        </w:rPr>
        <w:t xml:space="preserve"> contains risks such as Risk 2, Risk 3, Risk 11, Risk 19, Risk 20, Risk 25, Risk 26</w:t>
      </w:r>
      <w:r>
        <w:rPr>
          <w:rFonts w:ascii="Times New Roman" w:hAnsi="Times New Roman" w:cs="Times New Roman"/>
        </w:rPr>
        <w:t xml:space="preserve"> </w:t>
      </w:r>
      <w:r w:rsidRPr="001757B1">
        <w:rPr>
          <w:rFonts w:ascii="Times New Roman" w:hAnsi="Times New Roman" w:cs="Times New Roman"/>
        </w:rPr>
        <w:t>and Risk 29. These do not represent immediate crisis-level threats, but they are important because they can escalate if not controlled.</w:t>
      </w:r>
    </w:p>
    <w:p w14:paraId="27A789BD" w14:textId="77777777" w:rsidR="00540FE7" w:rsidRPr="001757B1" w:rsidRDefault="00540FE7" w:rsidP="00540FE7">
      <w:pPr>
        <w:rPr>
          <w:rFonts w:ascii="Times New Roman" w:hAnsi="Times New Roman" w:cs="Times New Roman"/>
        </w:rPr>
      </w:pPr>
      <w:r w:rsidRPr="001757B1">
        <w:rPr>
          <w:rFonts w:ascii="Times New Roman" w:hAnsi="Times New Roman" w:cs="Times New Roman"/>
        </w:rPr>
        <w:t xml:space="preserve">The </w:t>
      </w:r>
      <w:r w:rsidRPr="001757B1">
        <w:rPr>
          <w:rFonts w:ascii="Times New Roman" w:hAnsi="Times New Roman" w:cs="Times New Roman"/>
          <w:b/>
          <w:bCs/>
        </w:rPr>
        <w:t>low-risk zone</w:t>
      </w:r>
      <w:r w:rsidRPr="001757B1">
        <w:rPr>
          <w:rFonts w:ascii="Times New Roman" w:hAnsi="Times New Roman" w:cs="Times New Roman"/>
        </w:rPr>
        <w:t xml:space="preserve"> includes the remaining risks, which are either low-likelihood, low-impact, or both. Although these risks are not immediate priorities, they should still be monitored because changes in the business environment or competitive landscape could increase their significance over time.</w:t>
      </w:r>
    </w:p>
    <w:p w14:paraId="615BEE20" w14:textId="77777777" w:rsidR="00540FE7" w:rsidRPr="001757B1" w:rsidRDefault="00540FE7" w:rsidP="00540FE7">
      <w:pPr>
        <w:rPr>
          <w:rFonts w:ascii="Times New Roman" w:hAnsi="Times New Roman" w:cs="Times New Roman"/>
        </w:rPr>
      </w:pPr>
      <w:r w:rsidRPr="001757B1">
        <w:rPr>
          <w:rFonts w:ascii="Times New Roman" w:hAnsi="Times New Roman" w:cs="Times New Roman"/>
        </w:rPr>
        <w:t>Overall, the risk mapping demonstrates that Manulife’s most serious exposures are concentrated around strategic competition, enterprise disruption, regulatory failure and technology-related vulnerabilities. This makes the heat map a useful tool for risk prioritization and communication.</w:t>
      </w:r>
    </w:p>
    <w:p w14:paraId="1ECB32FE" w14:textId="77777777" w:rsidR="00540FE7" w:rsidRPr="001757B1" w:rsidRDefault="00540FE7" w:rsidP="00540FE7">
      <w:pPr>
        <w:rPr>
          <w:rFonts w:ascii="Times New Roman" w:hAnsi="Times New Roman" w:cs="Times New Roman"/>
        </w:rPr>
      </w:pPr>
    </w:p>
    <w:p w14:paraId="74700D4B" w14:textId="77777777" w:rsidR="00540FE7" w:rsidRPr="001757B1" w:rsidRDefault="00540FE7" w:rsidP="00540FE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757B1">
        <w:rPr>
          <w:rFonts w:ascii="Times New Roman" w:hAnsi="Times New Roman" w:cs="Times New Roman"/>
          <w:b/>
          <w:bCs/>
          <w:sz w:val="32"/>
          <w:szCs w:val="32"/>
        </w:rPr>
        <w:t>Python Heat Map Explanation</w:t>
      </w:r>
    </w:p>
    <w:p w14:paraId="09BAD9FB" w14:textId="77777777" w:rsidR="00540FE7" w:rsidRPr="001757B1" w:rsidRDefault="00540FE7" w:rsidP="00540FE7">
      <w:pPr>
        <w:rPr>
          <w:rFonts w:ascii="Times New Roman" w:hAnsi="Times New Roman" w:cs="Times New Roman"/>
        </w:rPr>
      </w:pPr>
      <w:r w:rsidRPr="001757B1">
        <w:rPr>
          <w:rFonts w:ascii="Times New Roman" w:hAnsi="Times New Roman" w:cs="Times New Roman"/>
        </w:rPr>
        <w:t>The Python code grouped risks by their likelihood and impact coordinates and then plotted them into colored cells using predefined thresholds. This programmatic approach adds value because it:</w:t>
      </w:r>
    </w:p>
    <w:p w14:paraId="60491CAB" w14:textId="77777777" w:rsidR="00540FE7" w:rsidRPr="001757B1" w:rsidRDefault="00540FE7" w:rsidP="00540FE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757B1">
        <w:rPr>
          <w:rFonts w:ascii="Times New Roman" w:hAnsi="Times New Roman" w:cs="Times New Roman"/>
        </w:rPr>
        <w:t>reduces manual plotting errors,</w:t>
      </w:r>
    </w:p>
    <w:p w14:paraId="6FDDA595" w14:textId="77777777" w:rsidR="00540FE7" w:rsidRPr="001757B1" w:rsidRDefault="00540FE7" w:rsidP="00540FE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757B1">
        <w:rPr>
          <w:rFonts w:ascii="Times New Roman" w:hAnsi="Times New Roman" w:cs="Times New Roman"/>
        </w:rPr>
        <w:t>ensures consistency with the risk calculation sheet,</w:t>
      </w:r>
    </w:p>
    <w:p w14:paraId="252640B0" w14:textId="77777777" w:rsidR="00540FE7" w:rsidRPr="001757B1" w:rsidRDefault="00540FE7" w:rsidP="00540FE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757B1">
        <w:rPr>
          <w:rFonts w:ascii="Times New Roman" w:hAnsi="Times New Roman" w:cs="Times New Roman"/>
        </w:rPr>
        <w:t>allows quick updates if scores change,</w:t>
      </w:r>
    </w:p>
    <w:p w14:paraId="478C67A5" w14:textId="77777777" w:rsidR="00540FE7" w:rsidRPr="001757B1" w:rsidRDefault="00540FE7" w:rsidP="00540FE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757B1">
        <w:rPr>
          <w:rFonts w:ascii="Times New Roman" w:hAnsi="Times New Roman" w:cs="Times New Roman"/>
        </w:rPr>
        <w:lastRenderedPageBreak/>
        <w:t>and provides a repeatable method for future risk reviews.</w:t>
      </w:r>
    </w:p>
    <w:p w14:paraId="7070F842" w14:textId="77777777" w:rsidR="00540FE7" w:rsidRPr="001757B1" w:rsidRDefault="00540FE7" w:rsidP="00540FE7">
      <w:pPr>
        <w:rPr>
          <w:rFonts w:ascii="Times New Roman" w:hAnsi="Times New Roman" w:cs="Times New Roman"/>
        </w:rPr>
      </w:pPr>
      <w:r w:rsidRPr="001757B1">
        <w:rPr>
          <w:rFonts w:ascii="Times New Roman" w:hAnsi="Times New Roman" w:cs="Times New Roman"/>
        </w:rPr>
        <w:t xml:space="preserve">The code also displays the </w:t>
      </w:r>
      <w:r w:rsidRPr="001757B1">
        <w:rPr>
          <w:rFonts w:ascii="Times New Roman" w:hAnsi="Times New Roman" w:cs="Times New Roman"/>
          <w:b/>
          <w:bCs/>
        </w:rPr>
        <w:t>risk name and total score inside each cell</w:t>
      </w:r>
      <w:r w:rsidRPr="001757B1">
        <w:rPr>
          <w:rFonts w:ascii="Times New Roman" w:hAnsi="Times New Roman" w:cs="Times New Roman"/>
        </w:rPr>
        <w:t>, making it easy to compare the numeric values with the visual classification.</w:t>
      </w:r>
    </w:p>
    <w:p w14:paraId="38F0FB95" w14:textId="77777777" w:rsidR="00540FE7" w:rsidRPr="001757B1" w:rsidRDefault="00540FE7" w:rsidP="00540FE7">
      <w:pPr>
        <w:rPr>
          <w:rFonts w:ascii="Times New Roman" w:hAnsi="Times New Roman" w:cs="Times New Roman"/>
        </w:rPr>
      </w:pPr>
    </w:p>
    <w:p w14:paraId="0FF0437F" w14:textId="77777777" w:rsidR="00540FE7" w:rsidRDefault="00540FE7" w:rsidP="00540FE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F5A13BD" w14:textId="77777777" w:rsidR="00540FE7" w:rsidRPr="001757B1" w:rsidRDefault="00540FE7" w:rsidP="00540FE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757B1">
        <w:rPr>
          <w:rFonts w:ascii="Times New Roman" w:hAnsi="Times New Roman" w:cs="Times New Roman"/>
          <w:b/>
          <w:bCs/>
          <w:sz w:val="32"/>
          <w:szCs w:val="32"/>
        </w:rPr>
        <w:t>Conclusion</w:t>
      </w:r>
    </w:p>
    <w:p w14:paraId="0DB400C5" w14:textId="77777777" w:rsidR="00540FE7" w:rsidRPr="001757B1" w:rsidRDefault="00540FE7" w:rsidP="00540FE7">
      <w:pPr>
        <w:rPr>
          <w:rFonts w:ascii="Times New Roman" w:hAnsi="Times New Roman" w:cs="Times New Roman"/>
        </w:rPr>
      </w:pPr>
      <w:r w:rsidRPr="001757B1">
        <w:rPr>
          <w:rFonts w:ascii="Times New Roman" w:hAnsi="Times New Roman" w:cs="Times New Roman"/>
        </w:rPr>
        <w:t>This risk assessment used a structured method to evaluate and prioritize Manulife’s key risks. By calculating scores from likelihood and impact, updating the risk register and mapping the risks in a heat map, the analysis provides a clear view of where the organization faces the greatest exposure. The most critical risks fall within the high-risk zone and are mainly associated with strategic competition, major operational or technology failures and regulatory exposure.</w:t>
      </w:r>
    </w:p>
    <w:p w14:paraId="4D8E4781" w14:textId="77777777" w:rsidR="00540FE7" w:rsidRPr="001757B1" w:rsidRDefault="00540FE7" w:rsidP="00540FE7">
      <w:pPr>
        <w:rPr>
          <w:rFonts w:ascii="Times New Roman" w:hAnsi="Times New Roman" w:cs="Times New Roman"/>
        </w:rPr>
      </w:pPr>
      <w:r w:rsidRPr="001757B1">
        <w:rPr>
          <w:rFonts w:ascii="Times New Roman" w:hAnsi="Times New Roman" w:cs="Times New Roman"/>
        </w:rPr>
        <w:t>The use of both Excel and Python strengthens the analysis by combining manual interpretation with programmatic consistency. This approach supports better decision-making and provides management with a clear basis for identifying, prioritizing and responding to risk.</w:t>
      </w:r>
    </w:p>
    <w:p w14:paraId="6659F3B5" w14:textId="77777777" w:rsidR="00540FE7" w:rsidRPr="0063633B" w:rsidRDefault="00540FE7" w:rsidP="00540FE7">
      <w:pPr>
        <w:rPr>
          <w:rFonts w:ascii="Times New Roman" w:hAnsi="Times New Roman" w:cs="Times New Roman"/>
        </w:rPr>
      </w:pPr>
      <w:r w:rsidRPr="001757B1">
        <w:rPr>
          <w:rFonts w:ascii="Times New Roman" w:hAnsi="Times New Roman" w:cs="Times New Roman"/>
          <w:noProof/>
        </w:rPr>
        <w:drawing>
          <wp:inline distT="0" distB="0" distL="0" distR="0" wp14:anchorId="7E6B6820" wp14:editId="79869E77">
            <wp:extent cx="5943600" cy="3296920"/>
            <wp:effectExtent l="0" t="0" r="0" b="0"/>
            <wp:docPr id="532172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1724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 w:rsidRPr="00FC5071">
        <w:rPr>
          <w:rFonts w:ascii="Times New Roman" w:hAnsi="Times New Roman" w:cs="Times New Roman"/>
          <w:b/>
          <w:bCs/>
          <w:sz w:val="32"/>
          <w:szCs w:val="32"/>
        </w:rPr>
        <w:t>References</w:t>
      </w:r>
      <w:r>
        <w:rPr>
          <w:rFonts w:ascii="Times New Roman" w:hAnsi="Times New Roman" w:cs="Times New Roman"/>
          <w:b/>
          <w:bCs/>
          <w:sz w:val="32"/>
          <w:szCs w:val="32"/>
        </w:rPr>
        <w:br/>
      </w:r>
      <w:r w:rsidRPr="0063633B">
        <w:rPr>
          <w:rFonts w:ascii="Times New Roman" w:hAnsi="Times New Roman" w:cs="Times New Roman"/>
        </w:rPr>
        <w:t xml:space="preserve">Deloitte. (2023). </w:t>
      </w:r>
      <w:r w:rsidRPr="0063633B">
        <w:rPr>
          <w:rFonts w:ascii="Times New Roman" w:hAnsi="Times New Roman" w:cs="Times New Roman"/>
          <w:i/>
          <w:iCs/>
        </w:rPr>
        <w:t>2023 global insurance outlook: Navigating disruption and transformation in insurance</w:t>
      </w:r>
      <w:r w:rsidRPr="0063633B">
        <w:rPr>
          <w:rFonts w:ascii="Times New Roman" w:hAnsi="Times New Roman" w:cs="Times New Roman"/>
        </w:rPr>
        <w:t xml:space="preserve">. Deloitte Insights. </w:t>
      </w:r>
      <w:hyperlink r:id="rId6" w:tgtFrame="_new" w:history="1">
        <w:r w:rsidRPr="0063633B">
          <w:rPr>
            <w:rStyle w:val="Hyperlink"/>
            <w:rFonts w:ascii="Times New Roman" w:hAnsi="Times New Roman" w:cs="Times New Roman"/>
          </w:rPr>
          <w:t>https://www2.deloitte.com</w:t>
        </w:r>
      </w:hyperlink>
    </w:p>
    <w:p w14:paraId="23E74A69" w14:textId="77777777" w:rsidR="00540FE7" w:rsidRPr="0063633B" w:rsidRDefault="00540FE7" w:rsidP="00540FE7">
      <w:pPr>
        <w:rPr>
          <w:rFonts w:ascii="Times New Roman" w:hAnsi="Times New Roman" w:cs="Times New Roman"/>
        </w:rPr>
      </w:pPr>
      <w:r w:rsidRPr="0063633B">
        <w:rPr>
          <w:rFonts w:ascii="Times New Roman" w:hAnsi="Times New Roman" w:cs="Times New Roman"/>
        </w:rPr>
        <w:lastRenderedPageBreak/>
        <w:t xml:space="preserve">International Organization for Standardization. (2018). </w:t>
      </w:r>
      <w:r w:rsidRPr="0063633B">
        <w:rPr>
          <w:rFonts w:ascii="Times New Roman" w:hAnsi="Times New Roman" w:cs="Times New Roman"/>
          <w:i/>
          <w:iCs/>
        </w:rPr>
        <w:t>ISO 31000: Risk management—Guidelines</w:t>
      </w:r>
      <w:r w:rsidRPr="0063633B">
        <w:rPr>
          <w:rFonts w:ascii="Times New Roman" w:hAnsi="Times New Roman" w:cs="Times New Roman"/>
        </w:rPr>
        <w:t xml:space="preserve">. ISO. </w:t>
      </w:r>
      <w:hyperlink r:id="rId7" w:tgtFrame="_new" w:history="1">
        <w:r w:rsidRPr="0063633B">
          <w:rPr>
            <w:rStyle w:val="Hyperlink"/>
            <w:rFonts w:ascii="Times New Roman" w:hAnsi="Times New Roman" w:cs="Times New Roman"/>
          </w:rPr>
          <w:t>https://www.iso.org/iso-31000-risk-management.html</w:t>
        </w:r>
      </w:hyperlink>
    </w:p>
    <w:p w14:paraId="7B1E67F2" w14:textId="77777777" w:rsidR="00540FE7" w:rsidRPr="0063633B" w:rsidRDefault="00540FE7" w:rsidP="00540FE7">
      <w:pPr>
        <w:rPr>
          <w:rFonts w:ascii="Times New Roman" w:hAnsi="Times New Roman" w:cs="Times New Roman"/>
        </w:rPr>
      </w:pPr>
      <w:r w:rsidRPr="0063633B">
        <w:rPr>
          <w:rFonts w:ascii="Times New Roman" w:hAnsi="Times New Roman" w:cs="Times New Roman"/>
        </w:rPr>
        <w:t xml:space="preserve">IBM Security. (2023). </w:t>
      </w:r>
      <w:r w:rsidRPr="0063633B">
        <w:rPr>
          <w:rFonts w:ascii="Times New Roman" w:hAnsi="Times New Roman" w:cs="Times New Roman"/>
          <w:i/>
          <w:iCs/>
        </w:rPr>
        <w:t>Cost of a data breach report 2023</w:t>
      </w:r>
      <w:r w:rsidRPr="0063633B">
        <w:rPr>
          <w:rFonts w:ascii="Times New Roman" w:hAnsi="Times New Roman" w:cs="Times New Roman"/>
        </w:rPr>
        <w:t xml:space="preserve">. IBM Corporation. </w:t>
      </w:r>
      <w:hyperlink r:id="rId8" w:tgtFrame="_new" w:history="1">
        <w:r w:rsidRPr="0063633B">
          <w:rPr>
            <w:rStyle w:val="Hyperlink"/>
            <w:rFonts w:ascii="Times New Roman" w:hAnsi="Times New Roman" w:cs="Times New Roman"/>
          </w:rPr>
          <w:t>https://www.ibm.com/security/data-breach</w:t>
        </w:r>
      </w:hyperlink>
    </w:p>
    <w:p w14:paraId="5886ABE5" w14:textId="77777777" w:rsidR="00540FE7" w:rsidRPr="0063633B" w:rsidRDefault="00540FE7" w:rsidP="00540FE7">
      <w:pPr>
        <w:rPr>
          <w:rFonts w:ascii="Times New Roman" w:hAnsi="Times New Roman" w:cs="Times New Roman"/>
        </w:rPr>
      </w:pPr>
      <w:r w:rsidRPr="0063633B">
        <w:rPr>
          <w:rFonts w:ascii="Times New Roman" w:hAnsi="Times New Roman" w:cs="Times New Roman"/>
        </w:rPr>
        <w:t xml:space="preserve">Investopedia. (2024). </w:t>
      </w:r>
      <w:r w:rsidRPr="0063633B">
        <w:rPr>
          <w:rFonts w:ascii="Times New Roman" w:hAnsi="Times New Roman" w:cs="Times New Roman"/>
          <w:i/>
          <w:iCs/>
        </w:rPr>
        <w:t>Risk management in business and finance</w:t>
      </w:r>
      <w:r w:rsidRPr="0063633B">
        <w:rPr>
          <w:rFonts w:ascii="Times New Roman" w:hAnsi="Times New Roman" w:cs="Times New Roman"/>
        </w:rPr>
        <w:t xml:space="preserve">. </w:t>
      </w:r>
      <w:hyperlink r:id="rId9" w:tgtFrame="_new" w:history="1">
        <w:r w:rsidRPr="0063633B">
          <w:rPr>
            <w:rStyle w:val="Hyperlink"/>
            <w:rFonts w:ascii="Times New Roman" w:hAnsi="Times New Roman" w:cs="Times New Roman"/>
          </w:rPr>
          <w:t>https://www.investopedia.com</w:t>
        </w:r>
      </w:hyperlink>
    </w:p>
    <w:p w14:paraId="417D4922" w14:textId="77777777" w:rsidR="00540FE7" w:rsidRPr="0063633B" w:rsidRDefault="00540FE7" w:rsidP="00540FE7">
      <w:pPr>
        <w:rPr>
          <w:rFonts w:ascii="Times New Roman" w:hAnsi="Times New Roman" w:cs="Times New Roman"/>
        </w:rPr>
      </w:pPr>
      <w:r w:rsidRPr="0063633B">
        <w:rPr>
          <w:rFonts w:ascii="Times New Roman" w:hAnsi="Times New Roman" w:cs="Times New Roman"/>
        </w:rPr>
        <w:t xml:space="preserve">World Economic Forum. (2023). </w:t>
      </w:r>
      <w:r w:rsidRPr="0063633B">
        <w:rPr>
          <w:rFonts w:ascii="Times New Roman" w:hAnsi="Times New Roman" w:cs="Times New Roman"/>
          <w:i/>
          <w:iCs/>
        </w:rPr>
        <w:t>Global risks report 2023</w:t>
      </w:r>
      <w:r w:rsidRPr="0063633B">
        <w:rPr>
          <w:rFonts w:ascii="Times New Roman" w:hAnsi="Times New Roman" w:cs="Times New Roman"/>
        </w:rPr>
        <w:t xml:space="preserve">. </w:t>
      </w:r>
      <w:hyperlink r:id="rId10" w:tgtFrame="_new" w:history="1">
        <w:r w:rsidRPr="0063633B">
          <w:rPr>
            <w:rStyle w:val="Hyperlink"/>
            <w:rFonts w:ascii="Times New Roman" w:hAnsi="Times New Roman" w:cs="Times New Roman"/>
          </w:rPr>
          <w:t>https://www.weforum.org/reports/global-risks-report-2023</w:t>
        </w:r>
      </w:hyperlink>
    </w:p>
    <w:p w14:paraId="507FD10A" w14:textId="77777777" w:rsidR="00540FE7" w:rsidRDefault="00540FE7"/>
    <w:sectPr w:rsidR="00540FE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E69F5"/>
    <w:multiLevelType w:val="multilevel"/>
    <w:tmpl w:val="2DC68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EB6783"/>
    <w:multiLevelType w:val="multilevel"/>
    <w:tmpl w:val="96EA2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6684600">
    <w:abstractNumId w:val="1"/>
  </w:num>
  <w:num w:numId="2" w16cid:durableId="883098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FE7"/>
    <w:rsid w:val="001B7EF1"/>
    <w:rsid w:val="00540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DB290"/>
  <w15:chartTrackingRefBased/>
  <w15:docId w15:val="{64BA2F47-5E7E-45FB-B075-E79BE2AEB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0FE7"/>
  </w:style>
  <w:style w:type="paragraph" w:styleId="Heading1">
    <w:name w:val="heading 1"/>
    <w:basedOn w:val="Normal"/>
    <w:next w:val="Normal"/>
    <w:link w:val="Heading1Char"/>
    <w:uiPriority w:val="9"/>
    <w:qFormat/>
    <w:rsid w:val="00540F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0F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0F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F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F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F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F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F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F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F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0F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0F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F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F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F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F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F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F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0F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0F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F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0F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0F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0F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0F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0F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F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F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0FE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40FE7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bm.com/security/data-breach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iso.org/iso-31000-risk-management.htm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2.deloitte.com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www.weforum.org/reports/global-risks-report-202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investopedi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539</Words>
  <Characters>3076</Characters>
  <Application>Microsoft Office Word</Application>
  <DocSecurity>0</DocSecurity>
  <Lines>25</Lines>
  <Paragraphs>7</Paragraphs>
  <ScaleCrop>false</ScaleCrop>
  <Company/>
  <LinksUpToDate>false</LinksUpToDate>
  <CharactersWithSpaces>3608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Derrick Amoo</dc:creator>
  <cp:keywords/>
  <dc:description/>
  <cp:lastModifiedBy>Derrick Amoo</cp:lastModifiedBy>
  <cp:revision>1</cp:revision>
  <dcterms:created xsi:type="dcterms:W3CDTF">2026-03-11T23:59:00Z</dcterms:created>
  <dcterms:modified xsi:type="dcterms:W3CDTF">2026-03-12T00:00:00Z</dcterms:modified>
</cp:coreProperties>
</file>