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BC38F" w14:textId="77777777" w:rsidR="00C3319C" w:rsidRPr="00C3319C" w:rsidRDefault="00C3319C" w:rsidP="00C3319C">
      <w:pPr>
        <w:rPr>
          <w:b/>
          <w:bCs/>
        </w:rPr>
      </w:pPr>
      <w:r w:rsidRPr="00C3319C">
        <w:rPr>
          <w:b/>
          <w:bCs/>
        </w:rPr>
        <w:t>Risk Response Strategy for Positive Risk: Data-Driven Customer Personalization &amp; Retention Growth</w:t>
      </w:r>
    </w:p>
    <w:p w14:paraId="163782B1" w14:textId="2A7B32D1" w:rsidR="00C3319C" w:rsidRPr="00C3319C" w:rsidRDefault="00C3319C" w:rsidP="00C3319C">
      <w:r w:rsidRPr="00C3319C">
        <w:rPr>
          <w:b/>
          <w:bCs/>
        </w:rPr>
        <w:t>Type:</w:t>
      </w:r>
      <w:r w:rsidRPr="00C3319C">
        <w:t xml:space="preserve"> Strategic / Operational Opportunity</w:t>
      </w:r>
      <w:r w:rsidRPr="00C3319C">
        <w:br/>
      </w:r>
      <w:r w:rsidRPr="00C3319C">
        <w:rPr>
          <w:b/>
          <w:bCs/>
        </w:rPr>
        <w:t>Risk Level:</w:t>
      </w:r>
      <w:r w:rsidRPr="00C3319C">
        <w:t xml:space="preserve"> High Opportunity Value</w:t>
      </w:r>
    </w:p>
    <w:p w14:paraId="6A9D7D4A" w14:textId="77777777" w:rsidR="00C3319C" w:rsidRPr="00C3319C" w:rsidRDefault="00C3319C" w:rsidP="00C3319C">
      <w:pPr>
        <w:rPr>
          <w:b/>
          <w:bCs/>
        </w:rPr>
      </w:pPr>
      <w:r w:rsidRPr="00C3319C">
        <w:rPr>
          <w:rFonts w:ascii="Segoe UI Emoji" w:hAnsi="Segoe UI Emoji" w:cs="Segoe UI Emoji"/>
          <w:b/>
          <w:bCs/>
        </w:rPr>
        <w:t>🎯</w:t>
      </w:r>
      <w:r w:rsidRPr="00C3319C">
        <w:rPr>
          <w:b/>
          <w:bCs/>
        </w:rPr>
        <w:t xml:space="preserve"> Response Strategy: Exploit + Enhance</w:t>
      </w:r>
    </w:p>
    <w:p w14:paraId="36DC7A8B" w14:textId="77777777" w:rsidR="00C3319C" w:rsidRPr="00C3319C" w:rsidRDefault="00C3319C" w:rsidP="00C3319C">
      <w:r w:rsidRPr="00C3319C">
        <w:rPr>
          <w:b/>
          <w:bCs/>
        </w:rPr>
        <w:t>Justification:</w:t>
      </w:r>
    </w:p>
    <w:p w14:paraId="4355E73C" w14:textId="77777777" w:rsidR="00C3319C" w:rsidRPr="00C3319C" w:rsidRDefault="00C3319C" w:rsidP="00C3319C">
      <w:r w:rsidRPr="00C3319C">
        <w:t>Given the high opportunity value, this risk falls under positive risks that should be actively exploited rather than accepted. According to the risk response planning framework, exploitation ensures full realization of opportunity value, while enhancement increases both the probability and impact of success.</w:t>
      </w:r>
    </w:p>
    <w:p w14:paraId="5194C03D" w14:textId="6757382E" w:rsidR="00C3319C" w:rsidRPr="00C3319C" w:rsidRDefault="00C3319C" w:rsidP="00C3319C">
      <w:r w:rsidRPr="00C3319C">
        <w:t xml:space="preserve">Although the risk heat map primarily captures downside risks, the same analytical </w:t>
      </w:r>
      <w:r w:rsidRPr="00C3319C">
        <w:t>drivers particularly</w:t>
      </w:r>
      <w:r w:rsidRPr="00C3319C">
        <w:t xml:space="preserve"> customer churn and digital penetration</w:t>
      </w:r>
      <w:r>
        <w:t xml:space="preserve"> </w:t>
      </w:r>
      <w:r w:rsidRPr="00C3319C">
        <w:t xml:space="preserve">can generate positive outcomes when leveraged effectively. This positions the opportunity as a </w:t>
      </w:r>
      <w:r w:rsidRPr="00C3319C">
        <w:rPr>
          <w:b/>
          <w:bCs/>
        </w:rPr>
        <w:t>medium</w:t>
      </w:r>
      <w:r>
        <w:rPr>
          <w:b/>
          <w:bCs/>
        </w:rPr>
        <w:t xml:space="preserve"> </w:t>
      </w:r>
      <w:r w:rsidRPr="00C3319C">
        <w:rPr>
          <w:b/>
          <w:bCs/>
        </w:rPr>
        <w:t>likelihood, high</w:t>
      </w:r>
      <w:r>
        <w:rPr>
          <w:b/>
          <w:bCs/>
        </w:rPr>
        <w:t xml:space="preserve"> </w:t>
      </w:r>
      <w:r w:rsidRPr="00C3319C">
        <w:rPr>
          <w:b/>
          <w:bCs/>
        </w:rPr>
        <w:t>impact positive risk</w:t>
      </w:r>
      <w:r w:rsidRPr="00C3319C">
        <w:t xml:space="preserve"> within the broader risk framework.</w:t>
      </w:r>
    </w:p>
    <w:p w14:paraId="5523795A" w14:textId="29FE8746" w:rsidR="00C3319C" w:rsidRPr="00C3319C" w:rsidRDefault="00C3319C" w:rsidP="00C3319C">
      <w:r w:rsidRPr="00C3319C">
        <w:t>As Manulife expands its use of data analytics and machine learning, this opportunity enables improved customer retention, increased lifetime value and enhanced cross-selling effectiveness. This aligns directly with the machine learning model outputs, where customer behavior variables significantly influence performance outcomes</w:t>
      </w:r>
    </w:p>
    <w:p w14:paraId="4CF35A4B" w14:textId="77777777" w:rsidR="00C3319C" w:rsidRPr="00C3319C" w:rsidRDefault="00C3319C" w:rsidP="00C3319C">
      <w:pPr>
        <w:rPr>
          <w:b/>
          <w:bCs/>
        </w:rPr>
      </w:pPr>
      <w:r w:rsidRPr="00C3319C">
        <w:rPr>
          <w:rFonts w:ascii="Segoe UI Symbol" w:hAnsi="Segoe UI Symbol" w:cs="Segoe UI Symbol"/>
          <w:b/>
          <w:bCs/>
        </w:rPr>
        <w:t>🛠</w:t>
      </w:r>
      <w:r w:rsidRPr="00C3319C">
        <w:rPr>
          <w:b/>
          <w:bCs/>
        </w:rPr>
        <w:t xml:space="preserve"> Response Plan</w:t>
      </w:r>
    </w:p>
    <w:p w14:paraId="2EDBDEF7" w14:textId="317CD811" w:rsidR="00C3319C" w:rsidRPr="00C3319C" w:rsidRDefault="00C3319C" w:rsidP="00C3319C">
      <w:pPr>
        <w:numPr>
          <w:ilvl w:val="0"/>
          <w:numId w:val="1"/>
        </w:numPr>
      </w:pPr>
      <w:r w:rsidRPr="00C3319C">
        <w:rPr>
          <w:b/>
          <w:bCs/>
        </w:rPr>
        <w:t>Predictive Customer Analytics</w:t>
      </w:r>
      <w:r w:rsidRPr="00C3319C">
        <w:br/>
        <w:t>Identify high</w:t>
      </w:r>
      <w:r>
        <w:t xml:space="preserve"> </w:t>
      </w:r>
      <w:r w:rsidRPr="00C3319C">
        <w:t xml:space="preserve">risk churn customers using machine learning models and trigger proactive retention interventions </w:t>
      </w:r>
    </w:p>
    <w:p w14:paraId="44057CE7" w14:textId="77777777" w:rsidR="00C3319C" w:rsidRPr="00C3319C" w:rsidRDefault="00C3319C" w:rsidP="00C3319C">
      <w:pPr>
        <w:numPr>
          <w:ilvl w:val="0"/>
          <w:numId w:val="1"/>
        </w:numPr>
      </w:pPr>
      <w:r w:rsidRPr="00C3319C">
        <w:rPr>
          <w:b/>
          <w:bCs/>
        </w:rPr>
        <w:t>Personalized Product Recommendations</w:t>
      </w:r>
      <w:r w:rsidRPr="00C3319C">
        <w:br/>
        <w:t xml:space="preserve">Deliver tailored insurance offerings based on behavioral data to increase engagement and conversion </w:t>
      </w:r>
    </w:p>
    <w:p w14:paraId="21957539" w14:textId="77777777" w:rsidR="00C3319C" w:rsidRPr="00C3319C" w:rsidRDefault="00C3319C" w:rsidP="00C3319C">
      <w:pPr>
        <w:numPr>
          <w:ilvl w:val="0"/>
          <w:numId w:val="1"/>
        </w:numPr>
      </w:pPr>
      <w:r w:rsidRPr="00C3319C">
        <w:rPr>
          <w:b/>
          <w:bCs/>
        </w:rPr>
        <w:t>Customer Lifetime Value Optimization</w:t>
      </w:r>
      <w:r w:rsidRPr="00C3319C">
        <w:br/>
        <w:t xml:space="preserve">Focus on high-value segments to maximize long-term profitability </w:t>
      </w:r>
    </w:p>
    <w:p w14:paraId="1CE0FB68" w14:textId="05757F18" w:rsidR="00C3319C" w:rsidRPr="00C3319C" w:rsidRDefault="00C3319C" w:rsidP="00C3319C">
      <w:pPr>
        <w:numPr>
          <w:ilvl w:val="0"/>
          <w:numId w:val="1"/>
        </w:numPr>
      </w:pPr>
      <w:r w:rsidRPr="00C3319C">
        <w:rPr>
          <w:b/>
          <w:bCs/>
        </w:rPr>
        <w:t>Digital Engagement Enhancement</w:t>
      </w:r>
      <w:r w:rsidRPr="00C3319C">
        <w:br/>
        <w:t xml:space="preserve">Strengthen mobile and web personalization to improve customer experience and retention </w:t>
      </w:r>
    </w:p>
    <w:p w14:paraId="2139E00C" w14:textId="090D300B" w:rsidR="00C3319C" w:rsidRDefault="00C3319C" w:rsidP="00C3319C">
      <w:pPr>
        <w:rPr>
          <w:b/>
          <w:bCs/>
        </w:rPr>
      </w:pPr>
    </w:p>
    <w:p w14:paraId="7E199720" w14:textId="53593B04" w:rsidR="00C3319C" w:rsidRPr="00C3319C" w:rsidRDefault="00C3319C" w:rsidP="00C3319C">
      <w:pPr>
        <w:rPr>
          <w:b/>
          <w:bCs/>
        </w:rPr>
      </w:pPr>
      <w:r w:rsidRPr="00C3319C">
        <w:rPr>
          <w:b/>
          <w:bCs/>
        </w:rPr>
        <w:lastRenderedPageBreak/>
        <w:t>Quantitative Link</w:t>
      </w:r>
    </w:p>
    <w:p w14:paraId="36C7985E" w14:textId="77777777" w:rsidR="00C3319C" w:rsidRPr="00C3319C" w:rsidRDefault="00C3319C" w:rsidP="00C3319C">
      <w:pPr>
        <w:numPr>
          <w:ilvl w:val="0"/>
          <w:numId w:val="2"/>
        </w:numPr>
      </w:pPr>
      <w:r w:rsidRPr="00C3319C">
        <w:t xml:space="preserve">Reduction in customer churn improves revenue stability </w:t>
      </w:r>
    </w:p>
    <w:p w14:paraId="222D1DCD" w14:textId="77777777" w:rsidR="00C3319C" w:rsidRPr="00C3319C" w:rsidRDefault="00C3319C" w:rsidP="00C3319C">
      <w:pPr>
        <w:numPr>
          <w:ilvl w:val="0"/>
          <w:numId w:val="2"/>
        </w:numPr>
      </w:pPr>
      <w:r w:rsidRPr="00C3319C">
        <w:t xml:space="preserve">Increased customer lifetime value leads to positive revenue growth </w:t>
      </w:r>
    </w:p>
    <w:p w14:paraId="33297A64" w14:textId="44841636" w:rsidR="00C3319C" w:rsidRPr="00C3319C" w:rsidRDefault="00C3319C" w:rsidP="00C3319C">
      <w:pPr>
        <w:numPr>
          <w:ilvl w:val="0"/>
          <w:numId w:val="2"/>
        </w:numPr>
      </w:pPr>
      <w:r w:rsidRPr="00C3319C">
        <w:t xml:space="preserve">Improved predictive accuracy enhances decision-making effectiveness </w:t>
      </w:r>
    </w:p>
    <w:p w14:paraId="59490FF7" w14:textId="3AA8FDDC" w:rsidR="00C3319C" w:rsidRPr="00C3319C" w:rsidRDefault="00C3319C" w:rsidP="00C3319C">
      <w:pPr>
        <w:rPr>
          <w:b/>
          <w:bCs/>
        </w:rPr>
      </w:pPr>
      <w:r w:rsidRPr="00C3319C">
        <w:rPr>
          <w:b/>
          <w:bCs/>
        </w:rPr>
        <w:t>Key Risk Indicators (KRIs)</w:t>
      </w:r>
    </w:p>
    <w:p w14:paraId="62F65510" w14:textId="77777777" w:rsidR="00C3319C" w:rsidRPr="00C3319C" w:rsidRDefault="00C3319C" w:rsidP="00C3319C">
      <w:pPr>
        <w:numPr>
          <w:ilvl w:val="0"/>
          <w:numId w:val="3"/>
        </w:numPr>
      </w:pPr>
      <w:r w:rsidRPr="00C3319C">
        <w:t xml:space="preserve">Customer churn rate </w:t>
      </w:r>
    </w:p>
    <w:p w14:paraId="1F2A3AF4" w14:textId="77777777" w:rsidR="00C3319C" w:rsidRPr="00C3319C" w:rsidRDefault="00C3319C" w:rsidP="00C3319C">
      <w:pPr>
        <w:numPr>
          <w:ilvl w:val="0"/>
          <w:numId w:val="3"/>
        </w:numPr>
      </w:pPr>
      <w:r w:rsidRPr="00C3319C">
        <w:t xml:space="preserve">Digital engagement rate </w:t>
      </w:r>
    </w:p>
    <w:p w14:paraId="3A27AA9E" w14:textId="2F8FE144" w:rsidR="00C3319C" w:rsidRPr="00C3319C" w:rsidRDefault="00C3319C" w:rsidP="00C3319C">
      <w:pPr>
        <w:numPr>
          <w:ilvl w:val="0"/>
          <w:numId w:val="3"/>
        </w:numPr>
      </w:pPr>
      <w:r w:rsidRPr="00C3319C">
        <w:t xml:space="preserve">Conversion rate </w:t>
      </w:r>
    </w:p>
    <w:p w14:paraId="1EC94E09" w14:textId="5ADF8CEF" w:rsidR="00C3319C" w:rsidRPr="00C3319C" w:rsidRDefault="00C3319C" w:rsidP="00C3319C">
      <w:pPr>
        <w:rPr>
          <w:b/>
          <w:bCs/>
        </w:rPr>
      </w:pPr>
      <w:r w:rsidRPr="00C3319C">
        <w:rPr>
          <w:b/>
          <w:bCs/>
        </w:rPr>
        <w:t>Risk Owner</w:t>
      </w:r>
    </w:p>
    <w:p w14:paraId="040E8FC6" w14:textId="2A0882AF" w:rsidR="00C3319C" w:rsidRPr="00C3319C" w:rsidRDefault="00C3319C" w:rsidP="00C3319C">
      <w:pPr>
        <w:numPr>
          <w:ilvl w:val="0"/>
          <w:numId w:val="4"/>
        </w:numPr>
      </w:pPr>
      <w:r w:rsidRPr="00C3319C">
        <w:t xml:space="preserve">Chief Data Officer / Head of Digital Analytics </w:t>
      </w:r>
    </w:p>
    <w:p w14:paraId="3DAE5EC5" w14:textId="10917E0C" w:rsidR="00C3319C" w:rsidRPr="00C3319C" w:rsidRDefault="00C3319C" w:rsidP="00C3319C">
      <w:pPr>
        <w:rPr>
          <w:b/>
          <w:bCs/>
        </w:rPr>
      </w:pPr>
      <w:r w:rsidRPr="00C3319C">
        <w:rPr>
          <w:b/>
          <w:bCs/>
        </w:rPr>
        <w:t>Residual Risk</w:t>
      </w:r>
    </w:p>
    <w:p w14:paraId="65767C1D" w14:textId="77777777" w:rsidR="00C3319C" w:rsidRPr="00C3319C" w:rsidRDefault="00C3319C" w:rsidP="00C3319C">
      <w:pPr>
        <w:numPr>
          <w:ilvl w:val="0"/>
          <w:numId w:val="5"/>
        </w:numPr>
      </w:pPr>
      <w:r w:rsidRPr="00C3319C">
        <w:t xml:space="preserve">Data privacy and regulatory compliance risk </w:t>
      </w:r>
    </w:p>
    <w:p w14:paraId="0D84487E" w14:textId="77777777" w:rsidR="00C3319C" w:rsidRPr="00C3319C" w:rsidRDefault="00C3319C" w:rsidP="00C3319C">
      <w:pPr>
        <w:numPr>
          <w:ilvl w:val="0"/>
          <w:numId w:val="5"/>
        </w:numPr>
      </w:pPr>
      <w:r w:rsidRPr="00C3319C">
        <w:t xml:space="preserve">Model bias affecting segmentation outcomes </w:t>
      </w:r>
    </w:p>
    <w:p w14:paraId="26DDC917" w14:textId="77777777" w:rsidR="00C3319C" w:rsidRPr="00C3319C" w:rsidRDefault="00C3319C" w:rsidP="00C3319C">
      <w:pPr>
        <w:numPr>
          <w:ilvl w:val="0"/>
          <w:numId w:val="5"/>
        </w:numPr>
      </w:pPr>
      <w:r w:rsidRPr="00C3319C">
        <w:t xml:space="preserve">Over-reliance on predictive models </w:t>
      </w:r>
    </w:p>
    <w:p w14:paraId="10DBBEDA" w14:textId="40C378E3" w:rsidR="00C3319C" w:rsidRPr="00C3319C" w:rsidRDefault="00C3319C" w:rsidP="00C3319C">
      <w:pPr>
        <w:numPr>
          <w:ilvl w:val="0"/>
          <w:numId w:val="5"/>
        </w:numPr>
      </w:pPr>
      <w:r w:rsidRPr="00C3319C">
        <w:t xml:space="preserve">Ethical considerations in AI-driven decision-making </w:t>
      </w:r>
    </w:p>
    <w:p w14:paraId="59356DE3" w14:textId="77777777" w:rsidR="00C3319C" w:rsidRPr="00C3319C" w:rsidRDefault="00C3319C" w:rsidP="00C3319C">
      <w:pPr>
        <w:rPr>
          <w:b/>
          <w:bCs/>
        </w:rPr>
      </w:pPr>
      <w:r w:rsidRPr="00C3319C">
        <w:rPr>
          <w:b/>
          <w:bCs/>
        </w:rPr>
        <w:t>Conclusion</w:t>
      </w:r>
    </w:p>
    <w:p w14:paraId="71C57C3F" w14:textId="77777777" w:rsidR="00C3319C" w:rsidRPr="00C3319C" w:rsidRDefault="00C3319C" w:rsidP="00C3319C">
      <w:r w:rsidRPr="00C3319C">
        <w:t>This analysis demonstrates that effective risk management extends beyond mitigating threats to actively exploiting strategic opportunities. By leveraging data analytics and machine learning, Manulife can transform uncertainty into a source of competitive advantage. Integrating both negative and positive risk responses ensures a balanced and proactive ERM approach aligned with industry best practices.</w:t>
      </w:r>
    </w:p>
    <w:p w14:paraId="6F3BF57B" w14:textId="056ABB5E" w:rsidR="00C3319C" w:rsidRDefault="00C3319C" w:rsidP="00C3319C"/>
    <w:sectPr w:rsidR="00C331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1E50"/>
    <w:multiLevelType w:val="multilevel"/>
    <w:tmpl w:val="3A7A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76A77"/>
    <w:multiLevelType w:val="multilevel"/>
    <w:tmpl w:val="4154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BF686B"/>
    <w:multiLevelType w:val="multilevel"/>
    <w:tmpl w:val="1896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D735D0"/>
    <w:multiLevelType w:val="multilevel"/>
    <w:tmpl w:val="2FD4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9B4F4B"/>
    <w:multiLevelType w:val="multilevel"/>
    <w:tmpl w:val="6E66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043281">
    <w:abstractNumId w:val="0"/>
  </w:num>
  <w:num w:numId="2" w16cid:durableId="596132619">
    <w:abstractNumId w:val="3"/>
  </w:num>
  <w:num w:numId="3" w16cid:durableId="2135244748">
    <w:abstractNumId w:val="4"/>
  </w:num>
  <w:num w:numId="4" w16cid:durableId="627852979">
    <w:abstractNumId w:val="2"/>
  </w:num>
  <w:num w:numId="5" w16cid:durableId="737822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19C"/>
    <w:rsid w:val="0075191A"/>
    <w:rsid w:val="00C331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7842E"/>
  <w15:chartTrackingRefBased/>
  <w15:docId w15:val="{627C29B1-12AE-48EC-9A10-139C1CE25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19C"/>
    <w:rPr>
      <w:rFonts w:eastAsiaTheme="majorEastAsia" w:cstheme="majorBidi"/>
      <w:color w:val="272727" w:themeColor="text1" w:themeTint="D8"/>
    </w:rPr>
  </w:style>
  <w:style w:type="paragraph" w:styleId="Title">
    <w:name w:val="Title"/>
    <w:basedOn w:val="Normal"/>
    <w:next w:val="Normal"/>
    <w:link w:val="TitleChar"/>
    <w:uiPriority w:val="10"/>
    <w:qFormat/>
    <w:rsid w:val="00C33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19C"/>
    <w:pPr>
      <w:spacing w:before="160"/>
      <w:jc w:val="center"/>
    </w:pPr>
    <w:rPr>
      <w:i/>
      <w:iCs/>
      <w:color w:val="404040" w:themeColor="text1" w:themeTint="BF"/>
    </w:rPr>
  </w:style>
  <w:style w:type="character" w:customStyle="1" w:styleId="QuoteChar">
    <w:name w:val="Quote Char"/>
    <w:basedOn w:val="DefaultParagraphFont"/>
    <w:link w:val="Quote"/>
    <w:uiPriority w:val="29"/>
    <w:rsid w:val="00C3319C"/>
    <w:rPr>
      <w:i/>
      <w:iCs/>
      <w:color w:val="404040" w:themeColor="text1" w:themeTint="BF"/>
    </w:rPr>
  </w:style>
  <w:style w:type="paragraph" w:styleId="ListParagraph">
    <w:name w:val="List Paragraph"/>
    <w:basedOn w:val="Normal"/>
    <w:uiPriority w:val="34"/>
    <w:qFormat/>
    <w:rsid w:val="00C3319C"/>
    <w:pPr>
      <w:ind w:left="720"/>
      <w:contextualSpacing/>
    </w:pPr>
  </w:style>
  <w:style w:type="character" w:styleId="IntenseEmphasis">
    <w:name w:val="Intense Emphasis"/>
    <w:basedOn w:val="DefaultParagraphFont"/>
    <w:uiPriority w:val="21"/>
    <w:qFormat/>
    <w:rsid w:val="00C3319C"/>
    <w:rPr>
      <w:i/>
      <w:iCs/>
      <w:color w:val="0F4761" w:themeColor="accent1" w:themeShade="BF"/>
    </w:rPr>
  </w:style>
  <w:style w:type="paragraph" w:styleId="IntenseQuote">
    <w:name w:val="Intense Quote"/>
    <w:basedOn w:val="Normal"/>
    <w:next w:val="Normal"/>
    <w:link w:val="IntenseQuoteChar"/>
    <w:uiPriority w:val="30"/>
    <w:qFormat/>
    <w:rsid w:val="00C33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19C"/>
    <w:rPr>
      <w:i/>
      <w:iCs/>
      <w:color w:val="0F4761" w:themeColor="accent1" w:themeShade="BF"/>
    </w:rPr>
  </w:style>
  <w:style w:type="character" w:styleId="IntenseReference">
    <w:name w:val="Intense Reference"/>
    <w:basedOn w:val="DefaultParagraphFont"/>
    <w:uiPriority w:val="32"/>
    <w:qFormat/>
    <w:rsid w:val="00C331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399</Words>
  <Characters>2276</Characters>
  <Application>Microsoft Office Word</Application>
  <DocSecurity>0</DocSecurity>
  <Lines>18</Lines>
  <Paragraphs>5</Paragraphs>
  <ScaleCrop>false</ScaleCrop>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Amoo</dc:creator>
  <cp:keywords/>
  <dc:description/>
  <cp:lastModifiedBy>Derrick Amoo</cp:lastModifiedBy>
  <cp:revision>1</cp:revision>
  <dcterms:created xsi:type="dcterms:W3CDTF">2026-03-27T23:25:00Z</dcterms:created>
  <dcterms:modified xsi:type="dcterms:W3CDTF">2026-03-27T23:41:00Z</dcterms:modified>
</cp:coreProperties>
</file>