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EA8B1" w14:textId="77777777" w:rsidR="007F6DDF" w:rsidRPr="007F6DDF" w:rsidRDefault="007F6DDF" w:rsidP="007F6DDF">
      <w:pPr>
        <w:spacing w:before="100" w:beforeAutospacing="1" w:after="100" w:afterAutospacing="1" w:line="240" w:lineRule="auto"/>
        <w:jc w:val="both"/>
        <w:outlineLvl w:val="0"/>
        <w:rPr>
          <w:rFonts w:ascii="Arial" w:eastAsia="Times New Roman" w:hAnsi="Arial" w:cs="Arial"/>
          <w:b/>
          <w:bCs/>
          <w:kern w:val="36"/>
          <w:sz w:val="28"/>
          <w:szCs w:val="28"/>
          <w:lang w:eastAsia="en-CA"/>
          <w14:ligatures w14:val="none"/>
        </w:rPr>
      </w:pPr>
      <w:r w:rsidRPr="007F6DDF">
        <w:rPr>
          <w:rFonts w:ascii="Arial" w:eastAsia="Times New Roman" w:hAnsi="Arial" w:cs="Arial"/>
          <w:b/>
          <w:bCs/>
          <w:kern w:val="36"/>
          <w:sz w:val="28"/>
          <w:szCs w:val="28"/>
          <w:lang w:eastAsia="en-CA"/>
          <w14:ligatures w14:val="none"/>
        </w:rPr>
        <w:t>Risk Assessment and Heat Map Analysis</w:t>
      </w:r>
    </w:p>
    <w:p w14:paraId="1A5A6871" w14:textId="77777777" w:rsidR="007F6DDF" w:rsidRPr="007F6DDF" w:rsidRDefault="007F6DDF" w:rsidP="007F6DDF">
      <w:pPr>
        <w:spacing w:after="0"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Company: Manulife Financial</w:t>
      </w:r>
    </w:p>
    <w:p w14:paraId="19657E3C" w14:textId="77777777" w:rsidR="007F6DDF" w:rsidRPr="007F6DDF" w:rsidRDefault="007F6DDF" w:rsidP="007F6DDF">
      <w:pPr>
        <w:spacing w:after="0"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Industry: Insurance and Financial Services</w:t>
      </w:r>
    </w:p>
    <w:p w14:paraId="65A88CB3" w14:textId="77777777" w:rsidR="007F6DDF" w:rsidRPr="007F6DDF" w:rsidRDefault="007F6DDF" w:rsidP="007F6DDF">
      <w:pPr>
        <w:spacing w:after="0" w:line="240" w:lineRule="auto"/>
        <w:jc w:val="both"/>
        <w:rPr>
          <w:rFonts w:ascii="Arial" w:eastAsia="Times New Roman" w:hAnsi="Arial" w:cs="Arial"/>
          <w:kern w:val="0"/>
          <w:sz w:val="28"/>
          <w:szCs w:val="28"/>
          <w:lang w:eastAsia="en-CA"/>
          <w14:ligatures w14:val="none"/>
        </w:rPr>
      </w:pPr>
    </w:p>
    <w:p w14:paraId="0E2AA51E" w14:textId="77777777" w:rsidR="007F6DDF" w:rsidRPr="007F6DDF" w:rsidRDefault="007F6DDF" w:rsidP="007F6DDF">
      <w:pPr>
        <w:spacing w:after="0" w:line="240" w:lineRule="auto"/>
        <w:jc w:val="both"/>
        <w:rPr>
          <w:rFonts w:ascii="Arial" w:eastAsia="Times New Roman" w:hAnsi="Arial" w:cs="Arial"/>
          <w:b/>
          <w:bCs/>
          <w:kern w:val="0"/>
          <w:sz w:val="28"/>
          <w:szCs w:val="28"/>
          <w:lang w:eastAsia="en-CA"/>
          <w14:ligatures w14:val="none"/>
        </w:rPr>
      </w:pPr>
      <w:r w:rsidRPr="007F6DDF">
        <w:rPr>
          <w:rFonts w:ascii="Arial" w:eastAsia="Times New Roman" w:hAnsi="Arial" w:cs="Arial"/>
          <w:b/>
          <w:bCs/>
          <w:kern w:val="0"/>
          <w:sz w:val="28"/>
          <w:szCs w:val="28"/>
          <w:lang w:eastAsia="en-CA"/>
          <w14:ligatures w14:val="none"/>
        </w:rPr>
        <w:t>Introduction</w:t>
      </w:r>
    </w:p>
    <w:p w14:paraId="150D2D91" w14:textId="77777777" w:rsidR="007F6DDF" w:rsidRPr="007F6DDF" w:rsidRDefault="007F6DDF" w:rsidP="007F6DDF">
      <w:pPr>
        <w:spacing w:after="0" w:line="240" w:lineRule="auto"/>
        <w:jc w:val="both"/>
        <w:rPr>
          <w:rFonts w:ascii="Arial" w:eastAsia="Times New Roman" w:hAnsi="Arial" w:cs="Arial"/>
          <w:kern w:val="0"/>
          <w:sz w:val="28"/>
          <w:szCs w:val="28"/>
          <w:lang w:eastAsia="en-CA"/>
          <w14:ligatures w14:val="none"/>
        </w:rPr>
      </w:pPr>
    </w:p>
    <w:p w14:paraId="3599D9F6" w14:textId="77777777" w:rsidR="007F6DDF" w:rsidRPr="007F6DDF" w:rsidRDefault="007F6DDF" w:rsidP="007F6DDF">
      <w:pPr>
        <w:spacing w:after="0"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Manulife Financial operates in a highly competitive insurance and financial services environment shaped by digital transformation, cybersecurity exposure, regulatory scrutiny and pressure from technology-enabled competitors. As Manulife expands its use of digital platforms, data analytics and AI-supported services, the company faces a broader range of risks that affect its strategic position, operational stability, compliance obligations and customer trust.</w:t>
      </w:r>
    </w:p>
    <w:p w14:paraId="6A4B7460" w14:textId="77777777" w:rsidR="007F6DDF" w:rsidRPr="007F6DDF" w:rsidRDefault="007F6DDF" w:rsidP="007F6DDF">
      <w:pPr>
        <w:spacing w:after="0" w:line="240" w:lineRule="auto"/>
        <w:jc w:val="both"/>
        <w:rPr>
          <w:rFonts w:ascii="Arial" w:eastAsia="Times New Roman" w:hAnsi="Arial" w:cs="Arial"/>
          <w:kern w:val="0"/>
          <w:sz w:val="28"/>
          <w:szCs w:val="28"/>
          <w:lang w:eastAsia="en-CA"/>
          <w14:ligatures w14:val="none"/>
        </w:rPr>
      </w:pPr>
    </w:p>
    <w:p w14:paraId="6BBC880D" w14:textId="77777777" w:rsidR="007F6DDF" w:rsidRPr="007F6DDF" w:rsidRDefault="007F6DDF" w:rsidP="007F6DDF">
      <w:pPr>
        <w:spacing w:after="0"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This assessment uses a structured risk calculation approach to evaluate identified risks according to likelihood and impact. The results are then transferred into a risk register and visualized using a risk heat map developed manually in Excel and programmatically in Python. The purpose of this process is to prioritize risks based on severity so that management can focus on the exposures that pose the greatest threat to performance, compliance and long-term competitiveness.</w:t>
      </w:r>
    </w:p>
    <w:p w14:paraId="3ABC3A42" w14:textId="77777777" w:rsidR="007F6DDF" w:rsidRPr="007F6DDF" w:rsidRDefault="007F6DDF" w:rsidP="007F6DDF">
      <w:pPr>
        <w:spacing w:before="100" w:beforeAutospacing="1" w:after="100" w:afterAutospacing="1" w:line="240" w:lineRule="auto"/>
        <w:jc w:val="both"/>
        <w:outlineLvl w:val="0"/>
        <w:rPr>
          <w:rFonts w:ascii="Arial" w:eastAsia="Times New Roman" w:hAnsi="Arial" w:cs="Arial"/>
          <w:b/>
          <w:bCs/>
          <w:kern w:val="36"/>
          <w:sz w:val="28"/>
          <w:szCs w:val="28"/>
          <w:lang w:eastAsia="en-CA"/>
          <w14:ligatures w14:val="none"/>
        </w:rPr>
      </w:pPr>
      <w:r w:rsidRPr="007F6DDF">
        <w:rPr>
          <w:rFonts w:ascii="Arial" w:eastAsia="Times New Roman" w:hAnsi="Arial" w:cs="Arial"/>
          <w:b/>
          <w:bCs/>
          <w:kern w:val="36"/>
          <w:sz w:val="28"/>
          <w:szCs w:val="28"/>
          <w:lang w:eastAsia="en-CA"/>
          <w14:ligatures w14:val="none"/>
        </w:rPr>
        <w:t>Risk Identification</w:t>
      </w:r>
    </w:p>
    <w:p w14:paraId="6213C03B" w14:textId="77777777" w:rsidR="007F6DDF" w:rsidRPr="007F6DDF" w:rsidRDefault="007F6DDF" w:rsidP="007F6DDF">
      <w:p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Based on industry reports, competitor activity, and regulatory developments, several risks affecting Manulife were identified. These risks fall into four categories:</w:t>
      </w:r>
    </w:p>
    <w:p w14:paraId="2AC27180" w14:textId="77777777" w:rsidR="007F6DDF" w:rsidRPr="007F6DDF" w:rsidRDefault="007F6DDF" w:rsidP="007F6DDF">
      <w:pPr>
        <w:spacing w:before="100" w:beforeAutospacing="1" w:after="100" w:afterAutospacing="1" w:line="240" w:lineRule="auto"/>
        <w:jc w:val="both"/>
        <w:outlineLvl w:val="2"/>
        <w:rPr>
          <w:rFonts w:ascii="Arial" w:eastAsia="Times New Roman" w:hAnsi="Arial" w:cs="Arial"/>
          <w:b/>
          <w:bCs/>
          <w:kern w:val="0"/>
          <w:sz w:val="28"/>
          <w:szCs w:val="28"/>
          <w:lang w:eastAsia="en-CA"/>
          <w14:ligatures w14:val="none"/>
        </w:rPr>
      </w:pPr>
      <w:r w:rsidRPr="007F6DDF">
        <w:rPr>
          <w:rFonts w:ascii="Arial" w:eastAsia="Times New Roman" w:hAnsi="Arial" w:cs="Arial"/>
          <w:b/>
          <w:bCs/>
          <w:kern w:val="0"/>
          <w:sz w:val="28"/>
          <w:szCs w:val="28"/>
          <w:lang w:eastAsia="en-CA"/>
          <w14:ligatures w14:val="none"/>
        </w:rPr>
        <w:t>Strategic Risks</w:t>
      </w:r>
    </w:p>
    <w:p w14:paraId="0088FBB8" w14:textId="77777777" w:rsidR="007F6DDF" w:rsidRPr="007F6DDF" w:rsidRDefault="007F6DDF" w:rsidP="007F6DDF">
      <w:pPr>
        <w:numPr>
          <w:ilvl w:val="0"/>
          <w:numId w:val="1"/>
        </w:num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Fintech competition</w:t>
      </w:r>
    </w:p>
    <w:p w14:paraId="222D6882" w14:textId="77777777" w:rsidR="007F6DDF" w:rsidRPr="007F6DDF" w:rsidRDefault="007F6DDF" w:rsidP="007F6DDF">
      <w:pPr>
        <w:numPr>
          <w:ilvl w:val="0"/>
          <w:numId w:val="1"/>
        </w:num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Digital market share erosion</w:t>
      </w:r>
    </w:p>
    <w:p w14:paraId="430F1294" w14:textId="77777777" w:rsidR="007F6DDF" w:rsidRPr="007F6DDF" w:rsidRDefault="007F6DDF" w:rsidP="007F6DDF">
      <w:pPr>
        <w:numPr>
          <w:ilvl w:val="0"/>
          <w:numId w:val="1"/>
        </w:num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Competitive pressure from AI-driven insurers</w:t>
      </w:r>
    </w:p>
    <w:p w14:paraId="34488475" w14:textId="77777777" w:rsidR="007F6DDF" w:rsidRPr="007F6DDF" w:rsidRDefault="007F6DDF" w:rsidP="007F6DDF">
      <w:pPr>
        <w:spacing w:before="100" w:beforeAutospacing="1" w:after="100" w:afterAutospacing="1" w:line="240" w:lineRule="auto"/>
        <w:jc w:val="both"/>
        <w:outlineLvl w:val="2"/>
        <w:rPr>
          <w:rFonts w:ascii="Arial" w:eastAsia="Times New Roman" w:hAnsi="Arial" w:cs="Arial"/>
          <w:b/>
          <w:bCs/>
          <w:kern w:val="0"/>
          <w:sz w:val="28"/>
          <w:szCs w:val="28"/>
          <w:lang w:eastAsia="en-CA"/>
          <w14:ligatures w14:val="none"/>
        </w:rPr>
      </w:pPr>
      <w:r w:rsidRPr="007F6DDF">
        <w:rPr>
          <w:rFonts w:ascii="Arial" w:eastAsia="Times New Roman" w:hAnsi="Arial" w:cs="Arial"/>
          <w:b/>
          <w:bCs/>
          <w:kern w:val="0"/>
          <w:sz w:val="28"/>
          <w:szCs w:val="28"/>
          <w:lang w:eastAsia="en-CA"/>
          <w14:ligatures w14:val="none"/>
        </w:rPr>
        <w:t>Operational Risks</w:t>
      </w:r>
    </w:p>
    <w:p w14:paraId="5D0E3FA3" w14:textId="77777777" w:rsidR="007F6DDF" w:rsidRPr="007F6DDF" w:rsidRDefault="007F6DDF" w:rsidP="007F6DDF">
      <w:pPr>
        <w:numPr>
          <w:ilvl w:val="0"/>
          <w:numId w:val="2"/>
        </w:num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Legacy system limitations</w:t>
      </w:r>
    </w:p>
    <w:p w14:paraId="06AC46D5" w14:textId="77777777" w:rsidR="007F6DDF" w:rsidRPr="007F6DDF" w:rsidRDefault="007F6DDF" w:rsidP="007F6DDF">
      <w:pPr>
        <w:numPr>
          <w:ilvl w:val="0"/>
          <w:numId w:val="2"/>
        </w:num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System downtime</w:t>
      </w:r>
    </w:p>
    <w:p w14:paraId="1A25FB19" w14:textId="77777777" w:rsidR="007F6DDF" w:rsidRPr="007F6DDF" w:rsidRDefault="007F6DDF" w:rsidP="007F6DDF">
      <w:pPr>
        <w:numPr>
          <w:ilvl w:val="0"/>
          <w:numId w:val="2"/>
        </w:num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Integration challenges during digital transformation</w:t>
      </w:r>
    </w:p>
    <w:p w14:paraId="3E1EBDE2" w14:textId="77777777" w:rsidR="007F6DDF" w:rsidRPr="007F6DDF" w:rsidRDefault="007F6DDF" w:rsidP="007F6DDF">
      <w:pPr>
        <w:spacing w:before="100" w:beforeAutospacing="1" w:after="100" w:afterAutospacing="1" w:line="240" w:lineRule="auto"/>
        <w:jc w:val="both"/>
        <w:outlineLvl w:val="2"/>
        <w:rPr>
          <w:rFonts w:ascii="Arial" w:eastAsia="Times New Roman" w:hAnsi="Arial" w:cs="Arial"/>
          <w:b/>
          <w:bCs/>
          <w:kern w:val="0"/>
          <w:sz w:val="28"/>
          <w:szCs w:val="28"/>
          <w:lang w:eastAsia="en-CA"/>
          <w14:ligatures w14:val="none"/>
        </w:rPr>
      </w:pPr>
      <w:r w:rsidRPr="007F6DDF">
        <w:rPr>
          <w:rFonts w:ascii="Arial" w:eastAsia="Times New Roman" w:hAnsi="Arial" w:cs="Arial"/>
          <w:b/>
          <w:bCs/>
          <w:kern w:val="0"/>
          <w:sz w:val="28"/>
          <w:szCs w:val="28"/>
          <w:lang w:eastAsia="en-CA"/>
          <w14:ligatures w14:val="none"/>
        </w:rPr>
        <w:lastRenderedPageBreak/>
        <w:t>Technology Risks</w:t>
      </w:r>
    </w:p>
    <w:p w14:paraId="3C674BBD" w14:textId="77777777" w:rsidR="007F6DDF" w:rsidRPr="007F6DDF" w:rsidRDefault="007F6DDF" w:rsidP="007F6DDF">
      <w:pPr>
        <w:numPr>
          <w:ilvl w:val="0"/>
          <w:numId w:val="3"/>
        </w:num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Cybersecurity vulnerabilities</w:t>
      </w:r>
    </w:p>
    <w:p w14:paraId="61D153D2" w14:textId="77777777" w:rsidR="007F6DDF" w:rsidRPr="007F6DDF" w:rsidRDefault="007F6DDF" w:rsidP="007F6DDF">
      <w:pPr>
        <w:numPr>
          <w:ilvl w:val="0"/>
          <w:numId w:val="3"/>
        </w:num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Cloud infrastructure risks</w:t>
      </w:r>
    </w:p>
    <w:p w14:paraId="3689880A" w14:textId="77777777" w:rsidR="007F6DDF" w:rsidRPr="007F6DDF" w:rsidRDefault="007F6DDF" w:rsidP="007F6DDF">
      <w:pPr>
        <w:numPr>
          <w:ilvl w:val="0"/>
          <w:numId w:val="3"/>
        </w:num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AI algorithm risks</w:t>
      </w:r>
    </w:p>
    <w:p w14:paraId="5534BEEC" w14:textId="77777777" w:rsidR="007F6DDF" w:rsidRPr="007F6DDF" w:rsidRDefault="007F6DDF" w:rsidP="007F6DDF">
      <w:pPr>
        <w:spacing w:before="100" w:beforeAutospacing="1" w:after="100" w:afterAutospacing="1" w:line="240" w:lineRule="auto"/>
        <w:jc w:val="both"/>
        <w:outlineLvl w:val="2"/>
        <w:rPr>
          <w:rFonts w:ascii="Arial" w:eastAsia="Times New Roman" w:hAnsi="Arial" w:cs="Arial"/>
          <w:b/>
          <w:bCs/>
          <w:kern w:val="0"/>
          <w:sz w:val="28"/>
          <w:szCs w:val="28"/>
          <w:lang w:eastAsia="en-CA"/>
          <w14:ligatures w14:val="none"/>
        </w:rPr>
      </w:pPr>
      <w:r w:rsidRPr="007F6DDF">
        <w:rPr>
          <w:rFonts w:ascii="Arial" w:eastAsia="Times New Roman" w:hAnsi="Arial" w:cs="Arial"/>
          <w:b/>
          <w:bCs/>
          <w:kern w:val="0"/>
          <w:sz w:val="28"/>
          <w:szCs w:val="28"/>
          <w:lang w:eastAsia="en-CA"/>
          <w14:ligatures w14:val="none"/>
        </w:rPr>
        <w:t>Regulatory Risks</w:t>
      </w:r>
    </w:p>
    <w:p w14:paraId="638D5506" w14:textId="77777777" w:rsidR="007F6DDF" w:rsidRPr="007F6DDF" w:rsidRDefault="007F6DDF" w:rsidP="007F6DDF">
      <w:pPr>
        <w:numPr>
          <w:ilvl w:val="0"/>
          <w:numId w:val="4"/>
        </w:num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AI governance requirements</w:t>
      </w:r>
    </w:p>
    <w:p w14:paraId="4003B998" w14:textId="77777777" w:rsidR="007F6DDF" w:rsidRPr="007F6DDF" w:rsidRDefault="007F6DDF" w:rsidP="007F6DDF">
      <w:pPr>
        <w:numPr>
          <w:ilvl w:val="0"/>
          <w:numId w:val="4"/>
        </w:num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Data protection laws</w:t>
      </w:r>
    </w:p>
    <w:p w14:paraId="69F3E411" w14:textId="77777777" w:rsidR="007F6DDF" w:rsidRPr="007F6DDF" w:rsidRDefault="007F6DDF" w:rsidP="007F6DDF">
      <w:pPr>
        <w:numPr>
          <w:ilvl w:val="0"/>
          <w:numId w:val="4"/>
        </w:num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Insurance capital requirement changes</w:t>
      </w:r>
    </w:p>
    <w:p w14:paraId="4C8156F0" w14:textId="77777777" w:rsidR="007F6DDF" w:rsidRPr="007F6DDF" w:rsidRDefault="007F6DDF" w:rsidP="007F6DDF">
      <w:pPr>
        <w:spacing w:before="100" w:beforeAutospacing="1" w:after="100" w:afterAutospacing="1" w:line="240" w:lineRule="auto"/>
        <w:jc w:val="both"/>
        <w:outlineLvl w:val="1"/>
        <w:rPr>
          <w:rFonts w:ascii="Arial" w:eastAsia="Times New Roman" w:hAnsi="Arial" w:cs="Arial"/>
          <w:b/>
          <w:bCs/>
          <w:kern w:val="0"/>
          <w:sz w:val="28"/>
          <w:szCs w:val="28"/>
          <w:lang w:eastAsia="en-CA"/>
          <w14:ligatures w14:val="none"/>
        </w:rPr>
      </w:pPr>
      <w:r w:rsidRPr="007F6DDF">
        <w:rPr>
          <w:rFonts w:ascii="Arial" w:eastAsia="Times New Roman" w:hAnsi="Arial" w:cs="Arial"/>
          <w:b/>
          <w:bCs/>
          <w:kern w:val="0"/>
          <w:sz w:val="28"/>
          <w:szCs w:val="28"/>
          <w:lang w:eastAsia="en-CA"/>
          <w14:ligatures w14:val="none"/>
        </w:rPr>
        <w:t>Risk Calculation Method</w:t>
      </w:r>
    </w:p>
    <w:p w14:paraId="18F10B35" w14:textId="77777777" w:rsidR="007F6DDF" w:rsidRPr="007F6DDF" w:rsidRDefault="007F6DDF" w:rsidP="007F6DDF">
      <w:p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 xml:space="preserve">The risk calculation sheet was used to assign values for </w:t>
      </w:r>
      <w:r w:rsidRPr="007F6DDF">
        <w:rPr>
          <w:rFonts w:ascii="Arial" w:eastAsia="Times New Roman" w:hAnsi="Arial" w:cs="Arial"/>
          <w:b/>
          <w:bCs/>
          <w:kern w:val="0"/>
          <w:sz w:val="28"/>
          <w:szCs w:val="28"/>
          <w:lang w:eastAsia="en-CA"/>
          <w14:ligatures w14:val="none"/>
        </w:rPr>
        <w:t>likelihood</w:t>
      </w:r>
      <w:r w:rsidRPr="007F6DDF">
        <w:rPr>
          <w:rFonts w:ascii="Arial" w:eastAsia="Times New Roman" w:hAnsi="Arial" w:cs="Arial"/>
          <w:kern w:val="0"/>
          <w:sz w:val="28"/>
          <w:szCs w:val="28"/>
          <w:lang w:eastAsia="en-CA"/>
          <w14:ligatures w14:val="none"/>
        </w:rPr>
        <w:t xml:space="preserve"> and </w:t>
      </w:r>
      <w:r w:rsidRPr="007F6DDF">
        <w:rPr>
          <w:rFonts w:ascii="Arial" w:eastAsia="Times New Roman" w:hAnsi="Arial" w:cs="Arial"/>
          <w:b/>
          <w:bCs/>
          <w:kern w:val="0"/>
          <w:sz w:val="28"/>
          <w:szCs w:val="28"/>
          <w:lang w:eastAsia="en-CA"/>
          <w14:ligatures w14:val="none"/>
        </w:rPr>
        <w:t>impact</w:t>
      </w:r>
      <w:r w:rsidRPr="007F6DDF">
        <w:rPr>
          <w:rFonts w:ascii="Arial" w:eastAsia="Times New Roman" w:hAnsi="Arial" w:cs="Arial"/>
          <w:kern w:val="0"/>
          <w:sz w:val="28"/>
          <w:szCs w:val="28"/>
          <w:lang w:eastAsia="en-CA"/>
          <w14:ligatures w14:val="none"/>
        </w:rPr>
        <w:t xml:space="preserve"> to each identified risk. Likelihood reflects the probability that a risk event will occur, while impact reflects the extent of damage or disruption that may result if the event takes place. The total risk score was calculated using the following formula:</w:t>
      </w:r>
    </w:p>
    <w:p w14:paraId="7247B7CF" w14:textId="77777777" w:rsidR="007F6DDF" w:rsidRPr="007F6DDF" w:rsidRDefault="007F6DDF" w:rsidP="007F6DDF">
      <w:p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b/>
          <w:bCs/>
          <w:kern w:val="0"/>
          <w:sz w:val="28"/>
          <w:szCs w:val="28"/>
          <w:lang w:eastAsia="en-CA"/>
          <w14:ligatures w14:val="none"/>
        </w:rPr>
        <w:t>Risk Score = Likelihood × Impact</w:t>
      </w:r>
    </w:p>
    <w:p w14:paraId="44636BF2" w14:textId="77777777" w:rsidR="007F6DDF" w:rsidRPr="007F6DDF" w:rsidRDefault="007F6DDF" w:rsidP="007F6DDF">
      <w:p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This method supports a consistent and transparent evaluation of risk severity. In this analysis, the scoring structure used in the heat map follows the values reflected in the calculation sheet and code:</w:t>
      </w:r>
    </w:p>
    <w:p w14:paraId="3531048C" w14:textId="77777777" w:rsidR="007F6DDF" w:rsidRPr="007F6DDF" w:rsidRDefault="007F6DDF" w:rsidP="007F6DDF">
      <w:pPr>
        <w:numPr>
          <w:ilvl w:val="0"/>
          <w:numId w:val="5"/>
        </w:num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b/>
          <w:bCs/>
          <w:kern w:val="0"/>
          <w:sz w:val="28"/>
          <w:szCs w:val="28"/>
          <w:lang w:eastAsia="en-CA"/>
          <w14:ligatures w14:val="none"/>
        </w:rPr>
        <w:t>Likelihood values:</w:t>
      </w:r>
      <w:r w:rsidRPr="007F6DDF">
        <w:rPr>
          <w:rFonts w:ascii="Arial" w:eastAsia="Times New Roman" w:hAnsi="Arial" w:cs="Arial"/>
          <w:kern w:val="0"/>
          <w:sz w:val="28"/>
          <w:szCs w:val="28"/>
          <w:lang w:eastAsia="en-CA"/>
          <w14:ligatures w14:val="none"/>
        </w:rPr>
        <w:t xml:space="preserve"> 1, 2, 3, 4, 5, 6, 7, 8, 9</w:t>
      </w:r>
    </w:p>
    <w:p w14:paraId="34883C56" w14:textId="77777777" w:rsidR="007F6DDF" w:rsidRPr="007F6DDF" w:rsidRDefault="007F6DDF" w:rsidP="007F6DDF">
      <w:pPr>
        <w:numPr>
          <w:ilvl w:val="0"/>
          <w:numId w:val="5"/>
        </w:num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b/>
          <w:bCs/>
          <w:kern w:val="0"/>
          <w:sz w:val="28"/>
          <w:szCs w:val="28"/>
          <w:lang w:eastAsia="en-CA"/>
          <w14:ligatures w14:val="none"/>
        </w:rPr>
        <w:t>Impact values:</w:t>
      </w:r>
      <w:r w:rsidRPr="007F6DDF">
        <w:rPr>
          <w:rFonts w:ascii="Arial" w:eastAsia="Times New Roman" w:hAnsi="Arial" w:cs="Arial"/>
          <w:kern w:val="0"/>
          <w:sz w:val="28"/>
          <w:szCs w:val="28"/>
          <w:lang w:eastAsia="en-CA"/>
          <w14:ligatures w14:val="none"/>
        </w:rPr>
        <w:t xml:space="preserve"> 1, 3, 5, 7, 9</w:t>
      </w:r>
    </w:p>
    <w:p w14:paraId="697F8209" w14:textId="77777777" w:rsidR="007F6DDF" w:rsidRPr="007F6DDF" w:rsidRDefault="007F6DDF" w:rsidP="007F6DDF">
      <w:p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The heat map thresholds were defined as follows:</w:t>
      </w:r>
    </w:p>
    <w:p w14:paraId="5BAC8875" w14:textId="77777777" w:rsidR="007F6DDF" w:rsidRPr="007F6DDF" w:rsidRDefault="007F6DDF" w:rsidP="007F6DDF">
      <w:pPr>
        <w:numPr>
          <w:ilvl w:val="0"/>
          <w:numId w:val="6"/>
        </w:num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b/>
          <w:bCs/>
          <w:kern w:val="0"/>
          <w:sz w:val="28"/>
          <w:szCs w:val="28"/>
          <w:lang w:eastAsia="en-CA"/>
          <w14:ligatures w14:val="none"/>
        </w:rPr>
        <w:t>Low risk (Green):</w:t>
      </w:r>
      <w:r w:rsidRPr="007F6DDF">
        <w:rPr>
          <w:rFonts w:ascii="Arial" w:eastAsia="Times New Roman" w:hAnsi="Arial" w:cs="Arial"/>
          <w:kern w:val="0"/>
          <w:sz w:val="28"/>
          <w:szCs w:val="28"/>
          <w:lang w:eastAsia="en-CA"/>
          <w14:ligatures w14:val="none"/>
        </w:rPr>
        <w:t xml:space="preserve"> score of </w:t>
      </w:r>
      <w:r w:rsidRPr="007F6DDF">
        <w:rPr>
          <w:rFonts w:ascii="Arial" w:eastAsia="Times New Roman" w:hAnsi="Arial" w:cs="Arial"/>
          <w:b/>
          <w:bCs/>
          <w:kern w:val="0"/>
          <w:sz w:val="28"/>
          <w:szCs w:val="28"/>
          <w:lang w:eastAsia="en-CA"/>
          <w14:ligatures w14:val="none"/>
        </w:rPr>
        <w:t>18 or below</w:t>
      </w:r>
    </w:p>
    <w:p w14:paraId="04FBCDA5" w14:textId="77777777" w:rsidR="007F6DDF" w:rsidRPr="007F6DDF" w:rsidRDefault="007F6DDF" w:rsidP="007F6DDF">
      <w:pPr>
        <w:numPr>
          <w:ilvl w:val="0"/>
          <w:numId w:val="6"/>
        </w:num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b/>
          <w:bCs/>
          <w:kern w:val="0"/>
          <w:sz w:val="28"/>
          <w:szCs w:val="28"/>
          <w:lang w:eastAsia="en-CA"/>
          <w14:ligatures w14:val="none"/>
        </w:rPr>
        <w:t>Moderate risk (Yellow):</w:t>
      </w:r>
      <w:r w:rsidRPr="007F6DDF">
        <w:rPr>
          <w:rFonts w:ascii="Arial" w:eastAsia="Times New Roman" w:hAnsi="Arial" w:cs="Arial"/>
          <w:kern w:val="0"/>
          <w:sz w:val="28"/>
          <w:szCs w:val="28"/>
          <w:lang w:eastAsia="en-CA"/>
          <w14:ligatures w14:val="none"/>
        </w:rPr>
        <w:t xml:space="preserve"> score from </w:t>
      </w:r>
      <w:r w:rsidRPr="007F6DDF">
        <w:rPr>
          <w:rFonts w:ascii="Arial" w:eastAsia="Times New Roman" w:hAnsi="Arial" w:cs="Arial"/>
          <w:b/>
          <w:bCs/>
          <w:kern w:val="0"/>
          <w:sz w:val="28"/>
          <w:szCs w:val="28"/>
          <w:lang w:eastAsia="en-CA"/>
          <w14:ligatures w14:val="none"/>
        </w:rPr>
        <w:t>19 to 40</w:t>
      </w:r>
    </w:p>
    <w:p w14:paraId="4B0CDDF3" w14:textId="77777777" w:rsidR="007F6DDF" w:rsidRPr="007F6DDF" w:rsidRDefault="007F6DDF" w:rsidP="007F6DDF">
      <w:pPr>
        <w:numPr>
          <w:ilvl w:val="0"/>
          <w:numId w:val="6"/>
        </w:num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b/>
          <w:bCs/>
          <w:kern w:val="0"/>
          <w:sz w:val="28"/>
          <w:szCs w:val="28"/>
          <w:lang w:eastAsia="en-CA"/>
          <w14:ligatures w14:val="none"/>
        </w:rPr>
        <w:t>High risk (Red):</w:t>
      </w:r>
      <w:r w:rsidRPr="007F6DDF">
        <w:rPr>
          <w:rFonts w:ascii="Arial" w:eastAsia="Times New Roman" w:hAnsi="Arial" w:cs="Arial"/>
          <w:kern w:val="0"/>
          <w:sz w:val="28"/>
          <w:szCs w:val="28"/>
          <w:lang w:eastAsia="en-CA"/>
          <w14:ligatures w14:val="none"/>
        </w:rPr>
        <w:t xml:space="preserve"> score </w:t>
      </w:r>
      <w:r w:rsidRPr="007F6DDF">
        <w:rPr>
          <w:rFonts w:ascii="Arial" w:eastAsia="Times New Roman" w:hAnsi="Arial" w:cs="Arial"/>
          <w:b/>
          <w:bCs/>
          <w:kern w:val="0"/>
          <w:sz w:val="28"/>
          <w:szCs w:val="28"/>
          <w:lang w:eastAsia="en-CA"/>
          <w14:ligatures w14:val="none"/>
        </w:rPr>
        <w:t>above 40</w:t>
      </w:r>
    </w:p>
    <w:p w14:paraId="47AB9728" w14:textId="77777777" w:rsidR="007F6DDF" w:rsidRPr="007F6DDF" w:rsidRDefault="007F6DDF" w:rsidP="007F6DDF">
      <w:pPr>
        <w:spacing w:before="100" w:beforeAutospacing="1" w:after="100" w:afterAutospacing="1" w:line="240" w:lineRule="auto"/>
        <w:jc w:val="both"/>
        <w:rPr>
          <w:rFonts w:ascii="Arial" w:eastAsia="Times New Roman" w:hAnsi="Arial" w:cs="Arial"/>
          <w:kern w:val="0"/>
          <w:sz w:val="28"/>
          <w:szCs w:val="28"/>
          <w:lang w:eastAsia="en-CA"/>
          <w14:ligatures w14:val="none"/>
        </w:rPr>
      </w:pPr>
      <w:r w:rsidRPr="007F6DDF">
        <w:rPr>
          <w:rFonts w:ascii="Arial" w:eastAsia="Times New Roman" w:hAnsi="Arial" w:cs="Arial"/>
          <w:kern w:val="0"/>
          <w:sz w:val="28"/>
          <w:szCs w:val="28"/>
          <w:lang w:eastAsia="en-CA"/>
          <w14:ligatures w14:val="none"/>
        </w:rPr>
        <w:t>These thresholds allow the risks to be grouped into practical management categories and visually displayed in the heat map.</w:t>
      </w:r>
    </w:p>
    <w:p w14:paraId="5CC2326A" w14:textId="77777777" w:rsidR="007F6DDF" w:rsidRPr="007F6DDF" w:rsidRDefault="007F6DDF" w:rsidP="007F6DDF">
      <w:pPr>
        <w:jc w:val="both"/>
        <w:rPr>
          <w:rFonts w:ascii="Arial" w:hAnsi="Arial" w:cs="Arial"/>
          <w:sz w:val="28"/>
          <w:szCs w:val="28"/>
        </w:rPr>
      </w:pPr>
    </w:p>
    <w:sectPr w:rsidR="007F6DDF" w:rsidRPr="007F6D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D3A32"/>
    <w:multiLevelType w:val="multilevel"/>
    <w:tmpl w:val="A7DA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B72D9"/>
    <w:multiLevelType w:val="multilevel"/>
    <w:tmpl w:val="6040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97DAB"/>
    <w:multiLevelType w:val="multilevel"/>
    <w:tmpl w:val="D84A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32B2C"/>
    <w:multiLevelType w:val="multilevel"/>
    <w:tmpl w:val="E5D4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1E2C57"/>
    <w:multiLevelType w:val="multilevel"/>
    <w:tmpl w:val="619A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DD0700"/>
    <w:multiLevelType w:val="multilevel"/>
    <w:tmpl w:val="67C0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599489">
    <w:abstractNumId w:val="2"/>
  </w:num>
  <w:num w:numId="2" w16cid:durableId="2123303581">
    <w:abstractNumId w:val="5"/>
  </w:num>
  <w:num w:numId="3" w16cid:durableId="1601454215">
    <w:abstractNumId w:val="3"/>
  </w:num>
  <w:num w:numId="4" w16cid:durableId="1166897927">
    <w:abstractNumId w:val="4"/>
  </w:num>
  <w:num w:numId="5" w16cid:durableId="1895895401">
    <w:abstractNumId w:val="0"/>
  </w:num>
  <w:num w:numId="6" w16cid:durableId="413599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DDF"/>
    <w:rsid w:val="007F6DDF"/>
    <w:rsid w:val="00B25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A05C5"/>
  <w15:chartTrackingRefBased/>
  <w15:docId w15:val="{8734E78D-DDBC-43E1-A9FF-C89B8D500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DDF"/>
    <w:rPr>
      <w:lang w:val="en-CA"/>
    </w:rPr>
  </w:style>
  <w:style w:type="paragraph" w:styleId="Heading1">
    <w:name w:val="heading 1"/>
    <w:basedOn w:val="Normal"/>
    <w:next w:val="Normal"/>
    <w:link w:val="Heading1Char"/>
    <w:uiPriority w:val="9"/>
    <w:qFormat/>
    <w:rsid w:val="007F6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DDF"/>
    <w:rPr>
      <w:rFonts w:eastAsiaTheme="majorEastAsia" w:cstheme="majorBidi"/>
      <w:color w:val="272727" w:themeColor="text1" w:themeTint="D8"/>
    </w:rPr>
  </w:style>
  <w:style w:type="paragraph" w:styleId="Title">
    <w:name w:val="Title"/>
    <w:basedOn w:val="Normal"/>
    <w:next w:val="Normal"/>
    <w:link w:val="TitleChar"/>
    <w:uiPriority w:val="10"/>
    <w:qFormat/>
    <w:rsid w:val="007F6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DDF"/>
    <w:pPr>
      <w:spacing w:before="160"/>
      <w:jc w:val="center"/>
    </w:pPr>
    <w:rPr>
      <w:i/>
      <w:iCs/>
      <w:color w:val="404040" w:themeColor="text1" w:themeTint="BF"/>
    </w:rPr>
  </w:style>
  <w:style w:type="character" w:customStyle="1" w:styleId="QuoteChar">
    <w:name w:val="Quote Char"/>
    <w:basedOn w:val="DefaultParagraphFont"/>
    <w:link w:val="Quote"/>
    <w:uiPriority w:val="29"/>
    <w:rsid w:val="007F6DDF"/>
    <w:rPr>
      <w:i/>
      <w:iCs/>
      <w:color w:val="404040" w:themeColor="text1" w:themeTint="BF"/>
    </w:rPr>
  </w:style>
  <w:style w:type="paragraph" w:styleId="ListParagraph">
    <w:name w:val="List Paragraph"/>
    <w:basedOn w:val="Normal"/>
    <w:uiPriority w:val="34"/>
    <w:qFormat/>
    <w:rsid w:val="007F6DDF"/>
    <w:pPr>
      <w:ind w:left="720"/>
      <w:contextualSpacing/>
    </w:pPr>
  </w:style>
  <w:style w:type="character" w:styleId="IntenseEmphasis">
    <w:name w:val="Intense Emphasis"/>
    <w:basedOn w:val="DefaultParagraphFont"/>
    <w:uiPriority w:val="21"/>
    <w:qFormat/>
    <w:rsid w:val="007F6DDF"/>
    <w:rPr>
      <w:i/>
      <w:iCs/>
      <w:color w:val="0F4761" w:themeColor="accent1" w:themeShade="BF"/>
    </w:rPr>
  </w:style>
  <w:style w:type="paragraph" w:styleId="IntenseQuote">
    <w:name w:val="Intense Quote"/>
    <w:basedOn w:val="Normal"/>
    <w:next w:val="Normal"/>
    <w:link w:val="IntenseQuoteChar"/>
    <w:uiPriority w:val="30"/>
    <w:qFormat/>
    <w:rsid w:val="007F6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DDF"/>
    <w:rPr>
      <w:i/>
      <w:iCs/>
      <w:color w:val="0F4761" w:themeColor="accent1" w:themeShade="BF"/>
    </w:rPr>
  </w:style>
  <w:style w:type="character" w:styleId="IntenseReference">
    <w:name w:val="Intense Reference"/>
    <w:basedOn w:val="DefaultParagraphFont"/>
    <w:uiPriority w:val="32"/>
    <w:qFormat/>
    <w:rsid w:val="007F6D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392</Words>
  <Characters>2237</Characters>
  <Application>Microsoft Office Word</Application>
  <DocSecurity>0</DocSecurity>
  <Lines>18</Lines>
  <Paragraphs>5</Paragraphs>
  <ScaleCrop>false</ScaleCrop>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Sheriff IK</dc:creator>
  <cp:keywords/>
  <dc:description/>
  <cp:lastModifiedBy>Sheriff IK</cp:lastModifiedBy>
  <cp:revision>1</cp:revision>
  <dcterms:created xsi:type="dcterms:W3CDTF">2026-03-13T03:05:00Z</dcterms:created>
  <dcterms:modified xsi:type="dcterms:W3CDTF">2026-03-13T03:14:00Z</dcterms:modified>
</cp:coreProperties>
</file>