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2D0B" w14:textId="13FB0F4D" w:rsidR="00F54753" w:rsidRPr="00043DFD" w:rsidRDefault="00043DFD" w:rsidP="00043DFD">
      <w:pPr>
        <w:jc w:val="center"/>
        <w:rPr>
          <w:b/>
          <w:bCs/>
          <w:sz w:val="56"/>
          <w:szCs w:val="56"/>
        </w:rPr>
      </w:pPr>
      <w:r w:rsidRPr="00043DFD">
        <w:rPr>
          <w:b/>
          <w:bCs/>
          <w:sz w:val="56"/>
          <w:szCs w:val="56"/>
        </w:rPr>
        <w:t>NAME: ADETOUN OBAUDE</w:t>
      </w:r>
    </w:p>
    <w:p w14:paraId="1F7ED756" w14:textId="25E93E9F" w:rsidR="009E63E1" w:rsidRPr="00043DFD" w:rsidRDefault="00043DFD" w:rsidP="00043DFD">
      <w:pPr>
        <w:jc w:val="center"/>
        <w:rPr>
          <w:b/>
          <w:bCs/>
          <w:sz w:val="56"/>
          <w:szCs w:val="56"/>
        </w:rPr>
      </w:pPr>
      <w:r w:rsidRPr="00043DFD">
        <w:rPr>
          <w:b/>
          <w:bCs/>
          <w:sz w:val="56"/>
          <w:szCs w:val="56"/>
        </w:rPr>
        <w:t>NUID: 002082685</w:t>
      </w:r>
    </w:p>
    <w:p w14:paraId="0C6E5C96" w14:textId="5D2028C0" w:rsidR="009E63E1" w:rsidRPr="00043DFD" w:rsidRDefault="00043DFD" w:rsidP="00043DFD">
      <w:pPr>
        <w:jc w:val="center"/>
        <w:rPr>
          <w:b/>
          <w:bCs/>
          <w:sz w:val="56"/>
          <w:szCs w:val="56"/>
        </w:rPr>
      </w:pPr>
      <w:r w:rsidRPr="00043DFD">
        <w:rPr>
          <w:b/>
          <w:bCs/>
          <w:sz w:val="56"/>
          <w:szCs w:val="56"/>
        </w:rPr>
        <w:t>COURSE: ALY6130 (</w:t>
      </w:r>
      <w:r w:rsidRPr="00043DFD">
        <w:rPr>
          <w:b/>
          <w:bCs/>
          <w:sz w:val="56"/>
          <w:szCs w:val="56"/>
          <w:lang w:val="en-US"/>
        </w:rPr>
        <w:t>RISK MANAGEMENT IN ANALYSIS)</w:t>
      </w:r>
    </w:p>
    <w:p w14:paraId="10D9D18F" w14:textId="7352887C" w:rsidR="009E63E1" w:rsidRPr="00043DFD" w:rsidRDefault="00043DFD" w:rsidP="00043DFD">
      <w:pPr>
        <w:jc w:val="center"/>
        <w:rPr>
          <w:b/>
          <w:bCs/>
          <w:sz w:val="56"/>
          <w:szCs w:val="56"/>
          <w:lang w:val="en-US"/>
        </w:rPr>
      </w:pPr>
      <w:r w:rsidRPr="00043DFD">
        <w:rPr>
          <w:b/>
          <w:bCs/>
          <w:sz w:val="56"/>
          <w:szCs w:val="56"/>
          <w:lang w:val="en-US"/>
        </w:rPr>
        <w:t>MODULE 3: ASSSIGNMENT</w:t>
      </w:r>
    </w:p>
    <w:p w14:paraId="59F4456A" w14:textId="16276093" w:rsidR="00043DFD" w:rsidRPr="00043DFD" w:rsidRDefault="00043DFD" w:rsidP="00043DFD">
      <w:pPr>
        <w:jc w:val="center"/>
        <w:rPr>
          <w:b/>
          <w:bCs/>
          <w:sz w:val="56"/>
          <w:szCs w:val="56"/>
          <w:lang w:val="en-US"/>
        </w:rPr>
      </w:pPr>
      <w:r w:rsidRPr="00043DFD">
        <w:rPr>
          <w:b/>
          <w:bCs/>
          <w:sz w:val="56"/>
          <w:szCs w:val="56"/>
          <w:lang w:val="en-US"/>
        </w:rPr>
        <w:t xml:space="preserve">LECTURER: PROFFESSOR </w:t>
      </w:r>
      <w:r w:rsidRPr="00043DFD">
        <w:rPr>
          <w:b/>
          <w:bCs/>
          <w:sz w:val="56"/>
          <w:szCs w:val="56"/>
        </w:rPr>
        <w:t>ABEBA N. TURI</w:t>
      </w:r>
    </w:p>
    <w:p w14:paraId="0F491800" w14:textId="074958EE" w:rsidR="009E63E1" w:rsidRPr="00043DFD" w:rsidRDefault="00043DFD" w:rsidP="00043DFD">
      <w:pPr>
        <w:jc w:val="center"/>
        <w:rPr>
          <w:b/>
          <w:bCs/>
          <w:sz w:val="56"/>
          <w:szCs w:val="56"/>
          <w:lang w:val="en-US"/>
        </w:rPr>
      </w:pPr>
      <w:r w:rsidRPr="00043DFD">
        <w:rPr>
          <w:b/>
          <w:bCs/>
          <w:sz w:val="56"/>
          <w:szCs w:val="56"/>
          <w:lang w:val="en-US"/>
        </w:rPr>
        <w:t>COMPANY: MANULIFE FINANCIAL</w:t>
      </w:r>
    </w:p>
    <w:p w14:paraId="022A8041" w14:textId="32241295" w:rsidR="009E63E1" w:rsidRPr="00043DFD" w:rsidRDefault="00043DFD" w:rsidP="00043DFD">
      <w:pPr>
        <w:jc w:val="center"/>
        <w:rPr>
          <w:b/>
          <w:bCs/>
          <w:sz w:val="56"/>
          <w:szCs w:val="56"/>
          <w:lang w:val="en-US"/>
        </w:rPr>
      </w:pPr>
      <w:r w:rsidRPr="00043DFD">
        <w:rPr>
          <w:b/>
          <w:bCs/>
          <w:sz w:val="56"/>
          <w:szCs w:val="56"/>
          <w:lang w:val="en-US"/>
        </w:rPr>
        <w:t>INDUSTRY: INSURANCE &amp; FINANCIAL SERVICES</w:t>
      </w:r>
    </w:p>
    <w:p w14:paraId="1713E824" w14:textId="44CFCF5A" w:rsidR="009E63E1" w:rsidRPr="00043DFD" w:rsidRDefault="00043DFD" w:rsidP="00043DFD">
      <w:pPr>
        <w:jc w:val="center"/>
        <w:rPr>
          <w:b/>
          <w:bCs/>
          <w:sz w:val="56"/>
          <w:szCs w:val="56"/>
        </w:rPr>
      </w:pPr>
      <w:r w:rsidRPr="00043DFD">
        <w:rPr>
          <w:b/>
          <w:bCs/>
          <w:sz w:val="56"/>
          <w:szCs w:val="56"/>
          <w:lang w:val="en-US"/>
        </w:rPr>
        <w:t>FOCUS: RISK CALCULATION SHEET, RISK REGISTER AND HEAT MAP STRUCTURE</w:t>
      </w:r>
    </w:p>
    <w:p w14:paraId="18584B91" w14:textId="77777777" w:rsidR="00043DFD" w:rsidRDefault="00043DFD" w:rsidP="009E6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53B1AD50" w14:textId="77777777" w:rsidR="00043DFD" w:rsidRDefault="00043DFD" w:rsidP="009E6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1D29B4F1" w14:textId="77777777" w:rsidR="00043DFD" w:rsidRDefault="00043DFD" w:rsidP="009E6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p>
    <w:p w14:paraId="20B71DE7" w14:textId="77777777" w:rsidR="00043DFD" w:rsidRDefault="00043DFD" w:rsidP="009E63E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CA"/>
          <w14:ligatures w14:val="none"/>
        </w:rPr>
      </w:pPr>
    </w:p>
    <w:p w14:paraId="5FAE64A3" w14:textId="7A68C76A" w:rsidR="009E63E1" w:rsidRPr="00043DFD" w:rsidRDefault="009E63E1" w:rsidP="009E63E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CA"/>
          <w14:ligatures w14:val="none"/>
        </w:rPr>
      </w:pPr>
      <w:r w:rsidRPr="00043DFD">
        <w:rPr>
          <w:rFonts w:ascii="Times New Roman" w:eastAsia="Times New Roman" w:hAnsi="Times New Roman" w:cs="Times New Roman"/>
          <w:b/>
          <w:bCs/>
          <w:kern w:val="36"/>
          <w:sz w:val="24"/>
          <w:szCs w:val="24"/>
          <w:lang w:eastAsia="en-CA"/>
          <w14:ligatures w14:val="none"/>
        </w:rPr>
        <w:lastRenderedPageBreak/>
        <w:t>Risk Calculation Sheet</w:t>
      </w:r>
    </w:p>
    <w:p w14:paraId="4057A026" w14:textId="77777777" w:rsidR="009E63E1" w:rsidRPr="00043DFD" w:rsidRDefault="009E63E1" w:rsidP="009E63E1">
      <w:pPr>
        <w:spacing w:before="100" w:beforeAutospacing="1" w:after="100" w:afterAutospacing="1" w:line="240" w:lineRule="auto"/>
        <w:outlineLvl w:val="0"/>
        <w:rPr>
          <w:rFonts w:ascii="Times New Roman" w:eastAsia="Times New Roman" w:hAnsi="Times New Roman" w:cs="Times New Roman"/>
          <w:kern w:val="36"/>
          <w:sz w:val="24"/>
          <w:szCs w:val="24"/>
          <w:lang w:eastAsia="en-CA"/>
          <w14:ligatures w14:val="none"/>
        </w:rPr>
      </w:pPr>
      <w:r w:rsidRPr="00043DFD">
        <w:rPr>
          <w:rFonts w:ascii="Times New Roman" w:eastAsia="Times New Roman" w:hAnsi="Times New Roman" w:cs="Times New Roman"/>
          <w:kern w:val="36"/>
          <w:sz w:val="24"/>
          <w:szCs w:val="24"/>
          <w:lang w:eastAsia="en-CA"/>
          <w14:ligatures w14:val="none"/>
        </w:rPr>
        <w:t>The following risk types were scored using the risk calculation sheet. These risks reflect internal and external factors affecting Manulife, including market competition, digital transformation, technology dependence, operational resilience, and regulatory exposure.</w:t>
      </w:r>
    </w:p>
    <w:p w14:paraId="7CA7B0F6" w14:textId="77777777" w:rsidR="009E63E1" w:rsidRPr="00043DFD" w:rsidRDefault="009E63E1" w:rsidP="009E63E1">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4338"/>
        <w:gridCol w:w="1188"/>
        <w:gridCol w:w="814"/>
        <w:gridCol w:w="894"/>
        <w:gridCol w:w="1093"/>
      </w:tblGrid>
      <w:tr w:rsidR="009E63E1" w:rsidRPr="00043DFD" w14:paraId="2AE86564" w14:textId="77777777" w:rsidTr="00504835">
        <w:trPr>
          <w:tblHeader/>
          <w:tblCellSpacing w:w="15" w:type="dxa"/>
        </w:trPr>
        <w:tc>
          <w:tcPr>
            <w:tcW w:w="0" w:type="auto"/>
            <w:vAlign w:val="center"/>
            <w:hideMark/>
          </w:tcPr>
          <w:p w14:paraId="483CC16E"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Risk #</w:t>
            </w:r>
          </w:p>
        </w:tc>
        <w:tc>
          <w:tcPr>
            <w:tcW w:w="0" w:type="auto"/>
            <w:vAlign w:val="center"/>
            <w:hideMark/>
          </w:tcPr>
          <w:p w14:paraId="5DD580BC"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The Risk of/That</w:t>
            </w:r>
          </w:p>
        </w:tc>
        <w:tc>
          <w:tcPr>
            <w:tcW w:w="0" w:type="auto"/>
            <w:vAlign w:val="center"/>
            <w:hideMark/>
          </w:tcPr>
          <w:p w14:paraId="62B89C17"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Likelihood</w:t>
            </w:r>
          </w:p>
        </w:tc>
        <w:tc>
          <w:tcPr>
            <w:tcW w:w="0" w:type="auto"/>
            <w:vAlign w:val="center"/>
            <w:hideMark/>
          </w:tcPr>
          <w:p w14:paraId="5F48F87E"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Impact</w:t>
            </w:r>
          </w:p>
        </w:tc>
        <w:tc>
          <w:tcPr>
            <w:tcW w:w="0" w:type="auto"/>
            <w:vAlign w:val="center"/>
            <w:hideMark/>
          </w:tcPr>
          <w:p w14:paraId="0D71E752"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Risk Score</w:t>
            </w:r>
          </w:p>
        </w:tc>
        <w:tc>
          <w:tcPr>
            <w:tcW w:w="0" w:type="auto"/>
            <w:vAlign w:val="center"/>
            <w:hideMark/>
          </w:tcPr>
          <w:p w14:paraId="65C3FDB1"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Risk Level</w:t>
            </w:r>
          </w:p>
        </w:tc>
      </w:tr>
      <w:tr w:rsidR="009E63E1" w:rsidRPr="00043DFD" w14:paraId="6DA8D13D" w14:textId="77777777" w:rsidTr="00504835">
        <w:trPr>
          <w:tblCellSpacing w:w="15" w:type="dxa"/>
        </w:trPr>
        <w:tc>
          <w:tcPr>
            <w:tcW w:w="0" w:type="auto"/>
            <w:vAlign w:val="center"/>
            <w:hideMark/>
          </w:tcPr>
          <w:p w14:paraId="30866AF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w:t>
            </w:r>
          </w:p>
        </w:tc>
        <w:tc>
          <w:tcPr>
            <w:tcW w:w="0" w:type="auto"/>
            <w:vAlign w:val="center"/>
            <w:hideMark/>
          </w:tcPr>
          <w:p w14:paraId="2FC37EE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Competitive pressure from digital-first insurers reduces market share</w:t>
            </w:r>
          </w:p>
        </w:tc>
        <w:tc>
          <w:tcPr>
            <w:tcW w:w="0" w:type="auto"/>
            <w:vAlign w:val="center"/>
            <w:hideMark/>
          </w:tcPr>
          <w:p w14:paraId="79E8E5B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w:t>
            </w:r>
          </w:p>
        </w:tc>
        <w:tc>
          <w:tcPr>
            <w:tcW w:w="0" w:type="auto"/>
            <w:vAlign w:val="center"/>
            <w:hideMark/>
          </w:tcPr>
          <w:p w14:paraId="76C2AB3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w:t>
            </w:r>
          </w:p>
        </w:tc>
        <w:tc>
          <w:tcPr>
            <w:tcW w:w="0" w:type="auto"/>
            <w:vAlign w:val="center"/>
            <w:hideMark/>
          </w:tcPr>
          <w:p w14:paraId="252EA31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56</w:t>
            </w:r>
          </w:p>
        </w:tc>
        <w:tc>
          <w:tcPr>
            <w:tcW w:w="0" w:type="auto"/>
            <w:vAlign w:val="center"/>
            <w:hideMark/>
          </w:tcPr>
          <w:p w14:paraId="0932671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397AC76F" w14:textId="77777777" w:rsidTr="00504835">
        <w:trPr>
          <w:tblCellSpacing w:w="15" w:type="dxa"/>
        </w:trPr>
        <w:tc>
          <w:tcPr>
            <w:tcW w:w="0" w:type="auto"/>
            <w:vAlign w:val="center"/>
            <w:hideMark/>
          </w:tcPr>
          <w:p w14:paraId="006FF7B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w:t>
            </w:r>
          </w:p>
        </w:tc>
        <w:tc>
          <w:tcPr>
            <w:tcW w:w="0" w:type="auto"/>
            <w:vAlign w:val="center"/>
            <w:hideMark/>
          </w:tcPr>
          <w:p w14:paraId="627FDAC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Customer service and retention weaken due to digital experience gaps</w:t>
            </w:r>
          </w:p>
        </w:tc>
        <w:tc>
          <w:tcPr>
            <w:tcW w:w="0" w:type="auto"/>
            <w:vAlign w:val="center"/>
            <w:hideMark/>
          </w:tcPr>
          <w:p w14:paraId="5DF8412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w:t>
            </w:r>
          </w:p>
        </w:tc>
        <w:tc>
          <w:tcPr>
            <w:tcW w:w="0" w:type="auto"/>
            <w:vAlign w:val="center"/>
            <w:hideMark/>
          </w:tcPr>
          <w:p w14:paraId="17E88A6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w:t>
            </w:r>
          </w:p>
        </w:tc>
        <w:tc>
          <w:tcPr>
            <w:tcW w:w="0" w:type="auto"/>
            <w:vAlign w:val="center"/>
            <w:hideMark/>
          </w:tcPr>
          <w:p w14:paraId="4F134AD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25</w:t>
            </w:r>
          </w:p>
        </w:tc>
        <w:tc>
          <w:tcPr>
            <w:tcW w:w="0" w:type="auto"/>
            <w:vAlign w:val="center"/>
            <w:hideMark/>
          </w:tcPr>
          <w:p w14:paraId="322B12B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73294E86" w14:textId="77777777" w:rsidTr="00504835">
        <w:trPr>
          <w:tblCellSpacing w:w="15" w:type="dxa"/>
        </w:trPr>
        <w:tc>
          <w:tcPr>
            <w:tcW w:w="0" w:type="auto"/>
            <w:vAlign w:val="center"/>
            <w:hideMark/>
          </w:tcPr>
          <w:p w14:paraId="3641C0F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3</w:t>
            </w:r>
          </w:p>
        </w:tc>
        <w:tc>
          <w:tcPr>
            <w:tcW w:w="0" w:type="auto"/>
            <w:vAlign w:val="center"/>
            <w:hideMark/>
          </w:tcPr>
          <w:p w14:paraId="1393D2A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Strategic delay in digital product rollout weakens competitiveness</w:t>
            </w:r>
          </w:p>
        </w:tc>
        <w:tc>
          <w:tcPr>
            <w:tcW w:w="0" w:type="auto"/>
            <w:vAlign w:val="center"/>
            <w:hideMark/>
          </w:tcPr>
          <w:p w14:paraId="290599E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w:t>
            </w:r>
          </w:p>
        </w:tc>
        <w:tc>
          <w:tcPr>
            <w:tcW w:w="0" w:type="auto"/>
            <w:vAlign w:val="center"/>
            <w:hideMark/>
          </w:tcPr>
          <w:p w14:paraId="56EEEE9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w:t>
            </w:r>
          </w:p>
        </w:tc>
        <w:tc>
          <w:tcPr>
            <w:tcW w:w="0" w:type="auto"/>
            <w:vAlign w:val="center"/>
            <w:hideMark/>
          </w:tcPr>
          <w:p w14:paraId="2743FA5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28</w:t>
            </w:r>
          </w:p>
        </w:tc>
        <w:tc>
          <w:tcPr>
            <w:tcW w:w="0" w:type="auto"/>
            <w:vAlign w:val="center"/>
            <w:hideMark/>
          </w:tcPr>
          <w:p w14:paraId="75E87DA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0744F88B" w14:textId="77777777" w:rsidTr="00504835">
        <w:trPr>
          <w:tblCellSpacing w:w="15" w:type="dxa"/>
        </w:trPr>
        <w:tc>
          <w:tcPr>
            <w:tcW w:w="0" w:type="auto"/>
            <w:vAlign w:val="center"/>
            <w:hideMark/>
          </w:tcPr>
          <w:p w14:paraId="12B6696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4</w:t>
            </w:r>
          </w:p>
        </w:tc>
        <w:tc>
          <w:tcPr>
            <w:tcW w:w="0" w:type="auto"/>
            <w:vAlign w:val="center"/>
            <w:hideMark/>
          </w:tcPr>
          <w:p w14:paraId="7AF5B46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Smaller control failures create inefficiencies in internal operations</w:t>
            </w:r>
          </w:p>
        </w:tc>
        <w:tc>
          <w:tcPr>
            <w:tcW w:w="0" w:type="auto"/>
            <w:vAlign w:val="center"/>
            <w:hideMark/>
          </w:tcPr>
          <w:p w14:paraId="3F17EC6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w:t>
            </w:r>
          </w:p>
        </w:tc>
        <w:tc>
          <w:tcPr>
            <w:tcW w:w="0" w:type="auto"/>
            <w:vAlign w:val="center"/>
            <w:hideMark/>
          </w:tcPr>
          <w:p w14:paraId="13D4080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4843BBC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w:t>
            </w:r>
          </w:p>
        </w:tc>
        <w:tc>
          <w:tcPr>
            <w:tcW w:w="0" w:type="auto"/>
            <w:vAlign w:val="center"/>
            <w:hideMark/>
          </w:tcPr>
          <w:p w14:paraId="6987514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580B72AB" w14:textId="77777777" w:rsidTr="00504835">
        <w:trPr>
          <w:tblCellSpacing w:w="15" w:type="dxa"/>
        </w:trPr>
        <w:tc>
          <w:tcPr>
            <w:tcW w:w="0" w:type="auto"/>
            <w:vAlign w:val="center"/>
            <w:hideMark/>
          </w:tcPr>
          <w:p w14:paraId="7BFF9C5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5</w:t>
            </w:r>
          </w:p>
        </w:tc>
        <w:tc>
          <w:tcPr>
            <w:tcW w:w="0" w:type="auto"/>
            <w:vAlign w:val="center"/>
            <w:hideMark/>
          </w:tcPr>
          <w:p w14:paraId="181EEB5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 xml:space="preserve">Major strategic disruption from aggressive fintech and </w:t>
            </w:r>
            <w:proofErr w:type="spellStart"/>
            <w:r w:rsidRPr="00043DFD">
              <w:rPr>
                <w:rFonts w:ascii="Times New Roman" w:hAnsi="Times New Roman" w:cs="Times New Roman"/>
                <w:sz w:val="24"/>
                <w:szCs w:val="24"/>
              </w:rPr>
              <w:t>insurtech</w:t>
            </w:r>
            <w:proofErr w:type="spellEnd"/>
            <w:r w:rsidRPr="00043DFD">
              <w:rPr>
                <w:rFonts w:ascii="Times New Roman" w:hAnsi="Times New Roman" w:cs="Times New Roman"/>
                <w:sz w:val="24"/>
                <w:szCs w:val="24"/>
              </w:rPr>
              <w:t xml:space="preserve"> competition</w:t>
            </w:r>
          </w:p>
        </w:tc>
        <w:tc>
          <w:tcPr>
            <w:tcW w:w="0" w:type="auto"/>
            <w:vAlign w:val="center"/>
            <w:hideMark/>
          </w:tcPr>
          <w:p w14:paraId="753721C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5F17997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27678A3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81</w:t>
            </w:r>
          </w:p>
        </w:tc>
        <w:tc>
          <w:tcPr>
            <w:tcW w:w="0" w:type="auto"/>
            <w:vAlign w:val="center"/>
            <w:hideMark/>
          </w:tcPr>
          <w:p w14:paraId="4A2DBF2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53DEDE73" w14:textId="77777777" w:rsidTr="00504835">
        <w:trPr>
          <w:tblCellSpacing w:w="15" w:type="dxa"/>
        </w:trPr>
        <w:tc>
          <w:tcPr>
            <w:tcW w:w="0" w:type="auto"/>
            <w:vAlign w:val="center"/>
            <w:hideMark/>
          </w:tcPr>
          <w:p w14:paraId="4A3ADDB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6</w:t>
            </w:r>
          </w:p>
        </w:tc>
        <w:tc>
          <w:tcPr>
            <w:tcW w:w="0" w:type="auto"/>
            <w:vAlign w:val="center"/>
            <w:hideMark/>
          </w:tcPr>
          <w:p w14:paraId="4F5990C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 reputational and financial damage from major technology failure</w:t>
            </w:r>
          </w:p>
        </w:tc>
        <w:tc>
          <w:tcPr>
            <w:tcW w:w="0" w:type="auto"/>
            <w:vAlign w:val="center"/>
            <w:hideMark/>
          </w:tcPr>
          <w:p w14:paraId="3A13D21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6</w:t>
            </w:r>
          </w:p>
        </w:tc>
        <w:tc>
          <w:tcPr>
            <w:tcW w:w="0" w:type="auto"/>
            <w:vAlign w:val="center"/>
            <w:hideMark/>
          </w:tcPr>
          <w:p w14:paraId="256FDE9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4FBA90E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54</w:t>
            </w:r>
          </w:p>
        </w:tc>
        <w:tc>
          <w:tcPr>
            <w:tcW w:w="0" w:type="auto"/>
            <w:vAlign w:val="center"/>
            <w:hideMark/>
          </w:tcPr>
          <w:p w14:paraId="4355F68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7DB7877A" w14:textId="77777777" w:rsidTr="00504835">
        <w:trPr>
          <w:tblCellSpacing w:w="15" w:type="dxa"/>
        </w:trPr>
        <w:tc>
          <w:tcPr>
            <w:tcW w:w="0" w:type="auto"/>
            <w:vAlign w:val="center"/>
            <w:hideMark/>
          </w:tcPr>
          <w:p w14:paraId="2808B9F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7</w:t>
            </w:r>
          </w:p>
        </w:tc>
        <w:tc>
          <w:tcPr>
            <w:tcW w:w="0" w:type="auto"/>
            <w:vAlign w:val="center"/>
            <w:hideMark/>
          </w:tcPr>
          <w:p w14:paraId="71D330E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Low-level process interruptions reduce workflow efficiency</w:t>
            </w:r>
          </w:p>
        </w:tc>
        <w:tc>
          <w:tcPr>
            <w:tcW w:w="0" w:type="auto"/>
            <w:vAlign w:val="center"/>
            <w:hideMark/>
          </w:tcPr>
          <w:p w14:paraId="4E08685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3397714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w:t>
            </w:r>
          </w:p>
        </w:tc>
        <w:tc>
          <w:tcPr>
            <w:tcW w:w="0" w:type="auto"/>
            <w:vAlign w:val="center"/>
            <w:hideMark/>
          </w:tcPr>
          <w:p w14:paraId="53E26A7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w:t>
            </w:r>
          </w:p>
        </w:tc>
        <w:tc>
          <w:tcPr>
            <w:tcW w:w="0" w:type="auto"/>
            <w:vAlign w:val="center"/>
            <w:hideMark/>
          </w:tcPr>
          <w:p w14:paraId="301A583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3C0648CF" w14:textId="77777777" w:rsidTr="00504835">
        <w:trPr>
          <w:tblCellSpacing w:w="15" w:type="dxa"/>
        </w:trPr>
        <w:tc>
          <w:tcPr>
            <w:tcW w:w="0" w:type="auto"/>
            <w:vAlign w:val="center"/>
            <w:hideMark/>
          </w:tcPr>
          <w:p w14:paraId="04D54E6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8</w:t>
            </w:r>
          </w:p>
        </w:tc>
        <w:tc>
          <w:tcPr>
            <w:tcW w:w="0" w:type="auto"/>
            <w:vAlign w:val="center"/>
            <w:hideMark/>
          </w:tcPr>
          <w:p w14:paraId="062E963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Emerging competitors increase pressure in selected product lines</w:t>
            </w:r>
          </w:p>
        </w:tc>
        <w:tc>
          <w:tcPr>
            <w:tcW w:w="0" w:type="auto"/>
            <w:vAlign w:val="center"/>
            <w:hideMark/>
          </w:tcPr>
          <w:p w14:paraId="4445CE6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2</w:t>
            </w:r>
          </w:p>
        </w:tc>
        <w:tc>
          <w:tcPr>
            <w:tcW w:w="0" w:type="auto"/>
            <w:vAlign w:val="center"/>
            <w:hideMark/>
          </w:tcPr>
          <w:p w14:paraId="450BA95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w:t>
            </w:r>
          </w:p>
        </w:tc>
        <w:tc>
          <w:tcPr>
            <w:tcW w:w="0" w:type="auto"/>
            <w:vAlign w:val="center"/>
            <w:hideMark/>
          </w:tcPr>
          <w:p w14:paraId="6B6B843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14</w:t>
            </w:r>
          </w:p>
        </w:tc>
        <w:tc>
          <w:tcPr>
            <w:tcW w:w="0" w:type="auto"/>
            <w:vAlign w:val="center"/>
            <w:hideMark/>
          </w:tcPr>
          <w:p w14:paraId="16BBC1C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32D7EFFB" w14:textId="77777777" w:rsidTr="00504835">
        <w:trPr>
          <w:tblCellSpacing w:w="15" w:type="dxa"/>
        </w:trPr>
        <w:tc>
          <w:tcPr>
            <w:tcW w:w="0" w:type="auto"/>
            <w:vAlign w:val="center"/>
            <w:hideMark/>
          </w:tcPr>
          <w:p w14:paraId="582412A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9</w:t>
            </w:r>
          </w:p>
        </w:tc>
        <w:tc>
          <w:tcPr>
            <w:tcW w:w="0" w:type="auto"/>
            <w:vAlign w:val="center"/>
            <w:hideMark/>
          </w:tcPr>
          <w:p w14:paraId="7AEC684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Minor system-control weaknesses affect process consistency</w:t>
            </w:r>
          </w:p>
        </w:tc>
        <w:tc>
          <w:tcPr>
            <w:tcW w:w="0" w:type="auto"/>
            <w:vAlign w:val="center"/>
            <w:hideMark/>
          </w:tcPr>
          <w:p w14:paraId="5A6892C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w:t>
            </w:r>
          </w:p>
        </w:tc>
        <w:tc>
          <w:tcPr>
            <w:tcW w:w="0" w:type="auto"/>
            <w:vAlign w:val="center"/>
            <w:hideMark/>
          </w:tcPr>
          <w:p w14:paraId="78D3BE3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6E357A0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w:t>
            </w:r>
          </w:p>
        </w:tc>
        <w:tc>
          <w:tcPr>
            <w:tcW w:w="0" w:type="auto"/>
            <w:vAlign w:val="center"/>
            <w:hideMark/>
          </w:tcPr>
          <w:p w14:paraId="149853E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58FE49F7" w14:textId="77777777" w:rsidTr="00504835">
        <w:trPr>
          <w:tblCellSpacing w:w="15" w:type="dxa"/>
        </w:trPr>
        <w:tc>
          <w:tcPr>
            <w:tcW w:w="0" w:type="auto"/>
            <w:vAlign w:val="center"/>
            <w:hideMark/>
          </w:tcPr>
          <w:p w14:paraId="211E3DF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10</w:t>
            </w:r>
          </w:p>
        </w:tc>
        <w:tc>
          <w:tcPr>
            <w:tcW w:w="0" w:type="auto"/>
            <w:vAlign w:val="center"/>
            <w:hideMark/>
          </w:tcPr>
          <w:p w14:paraId="203BCEA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 operational disruption due to integration challenges</w:t>
            </w:r>
          </w:p>
        </w:tc>
        <w:tc>
          <w:tcPr>
            <w:tcW w:w="0" w:type="auto"/>
            <w:vAlign w:val="center"/>
            <w:hideMark/>
          </w:tcPr>
          <w:p w14:paraId="3174813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6</w:t>
            </w:r>
          </w:p>
        </w:tc>
        <w:tc>
          <w:tcPr>
            <w:tcW w:w="0" w:type="auto"/>
            <w:vAlign w:val="center"/>
            <w:hideMark/>
          </w:tcPr>
          <w:p w14:paraId="5D8CED1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w:t>
            </w:r>
          </w:p>
        </w:tc>
        <w:tc>
          <w:tcPr>
            <w:tcW w:w="0" w:type="auto"/>
            <w:vAlign w:val="center"/>
            <w:hideMark/>
          </w:tcPr>
          <w:p w14:paraId="026FB53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18</w:t>
            </w:r>
          </w:p>
        </w:tc>
        <w:tc>
          <w:tcPr>
            <w:tcW w:w="0" w:type="auto"/>
            <w:vAlign w:val="center"/>
            <w:hideMark/>
          </w:tcPr>
          <w:p w14:paraId="1286D0A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0DCAA4C6" w14:textId="77777777" w:rsidTr="00504835">
        <w:trPr>
          <w:tblCellSpacing w:w="15" w:type="dxa"/>
        </w:trPr>
        <w:tc>
          <w:tcPr>
            <w:tcW w:w="0" w:type="auto"/>
            <w:vAlign w:val="center"/>
            <w:hideMark/>
          </w:tcPr>
          <w:p w14:paraId="2E68704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11</w:t>
            </w:r>
          </w:p>
        </w:tc>
        <w:tc>
          <w:tcPr>
            <w:tcW w:w="0" w:type="auto"/>
            <w:vAlign w:val="center"/>
            <w:hideMark/>
          </w:tcPr>
          <w:p w14:paraId="77A8550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Cybersecurity weaknesses affect customer trust and operations</w:t>
            </w:r>
          </w:p>
        </w:tc>
        <w:tc>
          <w:tcPr>
            <w:tcW w:w="0" w:type="auto"/>
            <w:vAlign w:val="center"/>
            <w:hideMark/>
          </w:tcPr>
          <w:p w14:paraId="0FD36D8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w:t>
            </w:r>
          </w:p>
        </w:tc>
        <w:tc>
          <w:tcPr>
            <w:tcW w:w="0" w:type="auto"/>
            <w:vAlign w:val="center"/>
            <w:hideMark/>
          </w:tcPr>
          <w:p w14:paraId="3D1C8D8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w:t>
            </w:r>
          </w:p>
        </w:tc>
        <w:tc>
          <w:tcPr>
            <w:tcW w:w="0" w:type="auto"/>
            <w:vAlign w:val="center"/>
            <w:hideMark/>
          </w:tcPr>
          <w:p w14:paraId="0B6F7A6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40</w:t>
            </w:r>
          </w:p>
        </w:tc>
        <w:tc>
          <w:tcPr>
            <w:tcW w:w="0" w:type="auto"/>
            <w:vAlign w:val="center"/>
            <w:hideMark/>
          </w:tcPr>
          <w:p w14:paraId="4EB8420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2A3B42E6" w14:textId="77777777" w:rsidTr="00504835">
        <w:trPr>
          <w:tblCellSpacing w:w="15" w:type="dxa"/>
        </w:trPr>
        <w:tc>
          <w:tcPr>
            <w:tcW w:w="0" w:type="auto"/>
            <w:vAlign w:val="center"/>
            <w:hideMark/>
          </w:tcPr>
          <w:p w14:paraId="321FEE5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12</w:t>
            </w:r>
          </w:p>
        </w:tc>
        <w:tc>
          <w:tcPr>
            <w:tcW w:w="0" w:type="auto"/>
            <w:vAlign w:val="center"/>
            <w:hideMark/>
          </w:tcPr>
          <w:p w14:paraId="0E06374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Severe compliance or market risk creates major strategic exposure</w:t>
            </w:r>
          </w:p>
        </w:tc>
        <w:tc>
          <w:tcPr>
            <w:tcW w:w="0" w:type="auto"/>
            <w:vAlign w:val="center"/>
            <w:hideMark/>
          </w:tcPr>
          <w:p w14:paraId="1F8250F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6568EED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w:t>
            </w:r>
          </w:p>
        </w:tc>
        <w:tc>
          <w:tcPr>
            <w:tcW w:w="0" w:type="auto"/>
            <w:vAlign w:val="center"/>
            <w:hideMark/>
          </w:tcPr>
          <w:p w14:paraId="059FA98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63</w:t>
            </w:r>
          </w:p>
        </w:tc>
        <w:tc>
          <w:tcPr>
            <w:tcW w:w="0" w:type="auto"/>
            <w:vAlign w:val="center"/>
            <w:hideMark/>
          </w:tcPr>
          <w:p w14:paraId="5936E6A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15473AD4" w14:textId="77777777" w:rsidTr="00504835">
        <w:trPr>
          <w:tblCellSpacing w:w="15" w:type="dxa"/>
        </w:trPr>
        <w:tc>
          <w:tcPr>
            <w:tcW w:w="0" w:type="auto"/>
            <w:vAlign w:val="center"/>
            <w:hideMark/>
          </w:tcPr>
          <w:p w14:paraId="3E824E2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13</w:t>
            </w:r>
          </w:p>
        </w:tc>
        <w:tc>
          <w:tcPr>
            <w:tcW w:w="0" w:type="auto"/>
            <w:vAlign w:val="center"/>
            <w:hideMark/>
          </w:tcPr>
          <w:p w14:paraId="27FD8E9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Limited internal process gaps reduce operating efficiency</w:t>
            </w:r>
          </w:p>
        </w:tc>
        <w:tc>
          <w:tcPr>
            <w:tcW w:w="0" w:type="auto"/>
            <w:vAlign w:val="center"/>
            <w:hideMark/>
          </w:tcPr>
          <w:p w14:paraId="45539E2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w:t>
            </w:r>
          </w:p>
        </w:tc>
        <w:tc>
          <w:tcPr>
            <w:tcW w:w="0" w:type="auto"/>
            <w:vAlign w:val="center"/>
            <w:hideMark/>
          </w:tcPr>
          <w:p w14:paraId="33E6341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21689FC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w:t>
            </w:r>
          </w:p>
        </w:tc>
        <w:tc>
          <w:tcPr>
            <w:tcW w:w="0" w:type="auto"/>
            <w:vAlign w:val="center"/>
            <w:hideMark/>
          </w:tcPr>
          <w:p w14:paraId="45C7990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613E64F9" w14:textId="77777777" w:rsidTr="00504835">
        <w:trPr>
          <w:tblCellSpacing w:w="15" w:type="dxa"/>
        </w:trPr>
        <w:tc>
          <w:tcPr>
            <w:tcW w:w="0" w:type="auto"/>
            <w:vAlign w:val="center"/>
            <w:hideMark/>
          </w:tcPr>
          <w:p w14:paraId="68A885D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lastRenderedPageBreak/>
              <w:t>Risk 14</w:t>
            </w:r>
          </w:p>
        </w:tc>
        <w:tc>
          <w:tcPr>
            <w:tcW w:w="0" w:type="auto"/>
            <w:vAlign w:val="center"/>
            <w:hideMark/>
          </w:tcPr>
          <w:p w14:paraId="24239D7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Technology adaptation issues create moderate process inefficiencies</w:t>
            </w:r>
          </w:p>
        </w:tc>
        <w:tc>
          <w:tcPr>
            <w:tcW w:w="0" w:type="auto"/>
            <w:vAlign w:val="center"/>
            <w:hideMark/>
          </w:tcPr>
          <w:p w14:paraId="055CAA9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6</w:t>
            </w:r>
          </w:p>
        </w:tc>
        <w:tc>
          <w:tcPr>
            <w:tcW w:w="0" w:type="auto"/>
            <w:vAlign w:val="center"/>
            <w:hideMark/>
          </w:tcPr>
          <w:p w14:paraId="4F08F37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w:t>
            </w:r>
          </w:p>
        </w:tc>
        <w:tc>
          <w:tcPr>
            <w:tcW w:w="0" w:type="auto"/>
            <w:vAlign w:val="center"/>
            <w:hideMark/>
          </w:tcPr>
          <w:p w14:paraId="2571E8B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18</w:t>
            </w:r>
          </w:p>
        </w:tc>
        <w:tc>
          <w:tcPr>
            <w:tcW w:w="0" w:type="auto"/>
            <w:vAlign w:val="center"/>
            <w:hideMark/>
          </w:tcPr>
          <w:p w14:paraId="1DF87F7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38C376D8" w14:textId="77777777" w:rsidTr="00504835">
        <w:trPr>
          <w:tblCellSpacing w:w="15" w:type="dxa"/>
        </w:trPr>
        <w:tc>
          <w:tcPr>
            <w:tcW w:w="0" w:type="auto"/>
            <w:vAlign w:val="center"/>
            <w:hideMark/>
          </w:tcPr>
          <w:p w14:paraId="31B48A8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15</w:t>
            </w:r>
          </w:p>
        </w:tc>
        <w:tc>
          <w:tcPr>
            <w:tcW w:w="0" w:type="auto"/>
            <w:vAlign w:val="center"/>
            <w:hideMark/>
          </w:tcPr>
          <w:p w14:paraId="7632863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High-impact regulatory or strategic failure harms business performance</w:t>
            </w:r>
          </w:p>
        </w:tc>
        <w:tc>
          <w:tcPr>
            <w:tcW w:w="0" w:type="auto"/>
            <w:vAlign w:val="center"/>
            <w:hideMark/>
          </w:tcPr>
          <w:p w14:paraId="0B533EB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w:t>
            </w:r>
          </w:p>
        </w:tc>
        <w:tc>
          <w:tcPr>
            <w:tcW w:w="0" w:type="auto"/>
            <w:vAlign w:val="center"/>
            <w:hideMark/>
          </w:tcPr>
          <w:p w14:paraId="139A242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1B691FE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72</w:t>
            </w:r>
          </w:p>
        </w:tc>
        <w:tc>
          <w:tcPr>
            <w:tcW w:w="0" w:type="auto"/>
            <w:vAlign w:val="center"/>
            <w:hideMark/>
          </w:tcPr>
          <w:p w14:paraId="2AF94B1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496D69AB" w14:textId="77777777" w:rsidTr="00504835">
        <w:trPr>
          <w:tblCellSpacing w:w="15" w:type="dxa"/>
        </w:trPr>
        <w:tc>
          <w:tcPr>
            <w:tcW w:w="0" w:type="auto"/>
            <w:vAlign w:val="center"/>
            <w:hideMark/>
          </w:tcPr>
          <w:p w14:paraId="3DB3181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16</w:t>
            </w:r>
          </w:p>
        </w:tc>
        <w:tc>
          <w:tcPr>
            <w:tcW w:w="0" w:type="auto"/>
            <w:vAlign w:val="center"/>
            <w:hideMark/>
          </w:tcPr>
          <w:p w14:paraId="1AB0A34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Operational reliability concerns create recurring process issues</w:t>
            </w:r>
          </w:p>
        </w:tc>
        <w:tc>
          <w:tcPr>
            <w:tcW w:w="0" w:type="auto"/>
            <w:vAlign w:val="center"/>
            <w:hideMark/>
          </w:tcPr>
          <w:p w14:paraId="0574514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6</w:t>
            </w:r>
          </w:p>
        </w:tc>
        <w:tc>
          <w:tcPr>
            <w:tcW w:w="0" w:type="auto"/>
            <w:vAlign w:val="center"/>
            <w:hideMark/>
          </w:tcPr>
          <w:p w14:paraId="5A5EE80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w:t>
            </w:r>
          </w:p>
        </w:tc>
        <w:tc>
          <w:tcPr>
            <w:tcW w:w="0" w:type="auto"/>
            <w:vAlign w:val="center"/>
            <w:hideMark/>
          </w:tcPr>
          <w:p w14:paraId="05F77F0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18</w:t>
            </w:r>
          </w:p>
        </w:tc>
        <w:tc>
          <w:tcPr>
            <w:tcW w:w="0" w:type="auto"/>
            <w:vAlign w:val="center"/>
            <w:hideMark/>
          </w:tcPr>
          <w:p w14:paraId="02D1E5E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1E62AE8D" w14:textId="77777777" w:rsidTr="00504835">
        <w:trPr>
          <w:tblCellSpacing w:w="15" w:type="dxa"/>
        </w:trPr>
        <w:tc>
          <w:tcPr>
            <w:tcW w:w="0" w:type="auto"/>
            <w:vAlign w:val="center"/>
            <w:hideMark/>
          </w:tcPr>
          <w:p w14:paraId="057B990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17</w:t>
            </w:r>
          </w:p>
        </w:tc>
        <w:tc>
          <w:tcPr>
            <w:tcW w:w="0" w:type="auto"/>
            <w:vAlign w:val="center"/>
            <w:hideMark/>
          </w:tcPr>
          <w:p w14:paraId="71AB164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Small but frequent low-cost risk events require monitoring</w:t>
            </w:r>
          </w:p>
        </w:tc>
        <w:tc>
          <w:tcPr>
            <w:tcW w:w="0" w:type="auto"/>
            <w:vAlign w:val="center"/>
            <w:hideMark/>
          </w:tcPr>
          <w:p w14:paraId="4B81C4F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4C6DC2E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29DAA78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4458D14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348B0546" w14:textId="77777777" w:rsidTr="00504835">
        <w:trPr>
          <w:tblCellSpacing w:w="15" w:type="dxa"/>
        </w:trPr>
        <w:tc>
          <w:tcPr>
            <w:tcW w:w="0" w:type="auto"/>
            <w:vAlign w:val="center"/>
            <w:hideMark/>
          </w:tcPr>
          <w:p w14:paraId="4ACF0B7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18</w:t>
            </w:r>
          </w:p>
        </w:tc>
        <w:tc>
          <w:tcPr>
            <w:tcW w:w="0" w:type="auto"/>
            <w:vAlign w:val="center"/>
            <w:hideMark/>
          </w:tcPr>
          <w:p w14:paraId="03F7056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Competitor expansion affects long-term strategic positioning</w:t>
            </w:r>
          </w:p>
        </w:tc>
        <w:tc>
          <w:tcPr>
            <w:tcW w:w="0" w:type="auto"/>
            <w:vAlign w:val="center"/>
            <w:hideMark/>
          </w:tcPr>
          <w:p w14:paraId="36973D5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2</w:t>
            </w:r>
          </w:p>
        </w:tc>
        <w:tc>
          <w:tcPr>
            <w:tcW w:w="0" w:type="auto"/>
            <w:vAlign w:val="center"/>
            <w:hideMark/>
          </w:tcPr>
          <w:p w14:paraId="63186B1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w:t>
            </w:r>
          </w:p>
        </w:tc>
        <w:tc>
          <w:tcPr>
            <w:tcW w:w="0" w:type="auto"/>
            <w:vAlign w:val="center"/>
            <w:hideMark/>
          </w:tcPr>
          <w:p w14:paraId="3AD2798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14</w:t>
            </w:r>
          </w:p>
        </w:tc>
        <w:tc>
          <w:tcPr>
            <w:tcW w:w="0" w:type="auto"/>
            <w:vAlign w:val="center"/>
            <w:hideMark/>
          </w:tcPr>
          <w:p w14:paraId="378CEDC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7B920D5E" w14:textId="77777777" w:rsidTr="00504835">
        <w:trPr>
          <w:tblCellSpacing w:w="15" w:type="dxa"/>
        </w:trPr>
        <w:tc>
          <w:tcPr>
            <w:tcW w:w="0" w:type="auto"/>
            <w:vAlign w:val="center"/>
            <w:hideMark/>
          </w:tcPr>
          <w:p w14:paraId="54560C5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19</w:t>
            </w:r>
          </w:p>
        </w:tc>
        <w:tc>
          <w:tcPr>
            <w:tcW w:w="0" w:type="auto"/>
            <w:vAlign w:val="center"/>
            <w:hideMark/>
          </w:tcPr>
          <w:p w14:paraId="042380F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 strategic execution risk affects digital competitiveness</w:t>
            </w:r>
          </w:p>
        </w:tc>
        <w:tc>
          <w:tcPr>
            <w:tcW w:w="0" w:type="auto"/>
            <w:vAlign w:val="center"/>
            <w:hideMark/>
          </w:tcPr>
          <w:p w14:paraId="6117D2D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w:t>
            </w:r>
          </w:p>
        </w:tc>
        <w:tc>
          <w:tcPr>
            <w:tcW w:w="0" w:type="auto"/>
            <w:vAlign w:val="center"/>
            <w:hideMark/>
          </w:tcPr>
          <w:p w14:paraId="6A00115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w:t>
            </w:r>
          </w:p>
        </w:tc>
        <w:tc>
          <w:tcPr>
            <w:tcW w:w="0" w:type="auto"/>
            <w:vAlign w:val="center"/>
            <w:hideMark/>
          </w:tcPr>
          <w:p w14:paraId="1FA5256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20</w:t>
            </w:r>
          </w:p>
        </w:tc>
        <w:tc>
          <w:tcPr>
            <w:tcW w:w="0" w:type="auto"/>
            <w:vAlign w:val="center"/>
            <w:hideMark/>
          </w:tcPr>
          <w:p w14:paraId="1D986CC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085FAFE3" w14:textId="77777777" w:rsidTr="00504835">
        <w:trPr>
          <w:tblCellSpacing w:w="15" w:type="dxa"/>
        </w:trPr>
        <w:tc>
          <w:tcPr>
            <w:tcW w:w="0" w:type="auto"/>
            <w:vAlign w:val="center"/>
            <w:hideMark/>
          </w:tcPr>
          <w:p w14:paraId="2D17D1C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20</w:t>
            </w:r>
          </w:p>
        </w:tc>
        <w:tc>
          <w:tcPr>
            <w:tcW w:w="0" w:type="auto"/>
            <w:vAlign w:val="center"/>
            <w:hideMark/>
          </w:tcPr>
          <w:p w14:paraId="05D67D4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 business process risk affects service continuity</w:t>
            </w:r>
          </w:p>
        </w:tc>
        <w:tc>
          <w:tcPr>
            <w:tcW w:w="0" w:type="auto"/>
            <w:vAlign w:val="center"/>
            <w:hideMark/>
          </w:tcPr>
          <w:p w14:paraId="1091E8E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w:t>
            </w:r>
          </w:p>
        </w:tc>
        <w:tc>
          <w:tcPr>
            <w:tcW w:w="0" w:type="auto"/>
            <w:vAlign w:val="center"/>
            <w:hideMark/>
          </w:tcPr>
          <w:p w14:paraId="48A108B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w:t>
            </w:r>
          </w:p>
        </w:tc>
        <w:tc>
          <w:tcPr>
            <w:tcW w:w="0" w:type="auto"/>
            <w:vAlign w:val="center"/>
            <w:hideMark/>
          </w:tcPr>
          <w:p w14:paraId="64D9092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24</w:t>
            </w:r>
          </w:p>
        </w:tc>
        <w:tc>
          <w:tcPr>
            <w:tcW w:w="0" w:type="auto"/>
            <w:vAlign w:val="center"/>
            <w:hideMark/>
          </w:tcPr>
          <w:p w14:paraId="754237B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61501B91" w14:textId="77777777" w:rsidTr="00504835">
        <w:trPr>
          <w:tblCellSpacing w:w="15" w:type="dxa"/>
        </w:trPr>
        <w:tc>
          <w:tcPr>
            <w:tcW w:w="0" w:type="auto"/>
            <w:vAlign w:val="center"/>
            <w:hideMark/>
          </w:tcPr>
          <w:p w14:paraId="59EB53A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21</w:t>
            </w:r>
          </w:p>
        </w:tc>
        <w:tc>
          <w:tcPr>
            <w:tcW w:w="0" w:type="auto"/>
            <w:vAlign w:val="center"/>
            <w:hideMark/>
          </w:tcPr>
          <w:p w14:paraId="33F4423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Isolated low-severity risks affect a small business segment</w:t>
            </w:r>
          </w:p>
        </w:tc>
        <w:tc>
          <w:tcPr>
            <w:tcW w:w="0" w:type="auto"/>
            <w:vAlign w:val="center"/>
            <w:hideMark/>
          </w:tcPr>
          <w:p w14:paraId="3C9D4C6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798951D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w:t>
            </w:r>
          </w:p>
        </w:tc>
        <w:tc>
          <w:tcPr>
            <w:tcW w:w="0" w:type="auto"/>
            <w:vAlign w:val="center"/>
            <w:hideMark/>
          </w:tcPr>
          <w:p w14:paraId="24150B4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w:t>
            </w:r>
          </w:p>
        </w:tc>
        <w:tc>
          <w:tcPr>
            <w:tcW w:w="0" w:type="auto"/>
            <w:vAlign w:val="center"/>
            <w:hideMark/>
          </w:tcPr>
          <w:p w14:paraId="565DA35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6E96A89A" w14:textId="77777777" w:rsidTr="00504835">
        <w:trPr>
          <w:tblCellSpacing w:w="15" w:type="dxa"/>
        </w:trPr>
        <w:tc>
          <w:tcPr>
            <w:tcW w:w="0" w:type="auto"/>
            <w:vAlign w:val="center"/>
            <w:hideMark/>
          </w:tcPr>
          <w:p w14:paraId="593E772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22</w:t>
            </w:r>
          </w:p>
        </w:tc>
        <w:tc>
          <w:tcPr>
            <w:tcW w:w="0" w:type="auto"/>
            <w:vAlign w:val="center"/>
            <w:hideMark/>
          </w:tcPr>
          <w:p w14:paraId="4C6DAEB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Minimal low-impact operational issues occur at routine level</w:t>
            </w:r>
          </w:p>
        </w:tc>
        <w:tc>
          <w:tcPr>
            <w:tcW w:w="0" w:type="auto"/>
            <w:vAlign w:val="center"/>
            <w:hideMark/>
          </w:tcPr>
          <w:p w14:paraId="26D582D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680A624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716A142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0D937FB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602B4ECC" w14:textId="77777777" w:rsidTr="00504835">
        <w:trPr>
          <w:tblCellSpacing w:w="15" w:type="dxa"/>
        </w:trPr>
        <w:tc>
          <w:tcPr>
            <w:tcW w:w="0" w:type="auto"/>
            <w:vAlign w:val="center"/>
            <w:hideMark/>
          </w:tcPr>
          <w:p w14:paraId="24CF0D1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23</w:t>
            </w:r>
          </w:p>
        </w:tc>
        <w:tc>
          <w:tcPr>
            <w:tcW w:w="0" w:type="auto"/>
            <w:vAlign w:val="center"/>
            <w:hideMark/>
          </w:tcPr>
          <w:p w14:paraId="3635E99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Low-frequency business interruptions create limited operational effect</w:t>
            </w:r>
          </w:p>
        </w:tc>
        <w:tc>
          <w:tcPr>
            <w:tcW w:w="0" w:type="auto"/>
            <w:vAlign w:val="center"/>
            <w:hideMark/>
          </w:tcPr>
          <w:p w14:paraId="4D50506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w:t>
            </w:r>
          </w:p>
        </w:tc>
        <w:tc>
          <w:tcPr>
            <w:tcW w:w="0" w:type="auto"/>
            <w:vAlign w:val="center"/>
            <w:hideMark/>
          </w:tcPr>
          <w:p w14:paraId="1D2A535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7BCD1AF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w:t>
            </w:r>
          </w:p>
        </w:tc>
        <w:tc>
          <w:tcPr>
            <w:tcW w:w="0" w:type="auto"/>
            <w:vAlign w:val="center"/>
            <w:hideMark/>
          </w:tcPr>
          <w:p w14:paraId="069012B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34BC7F92" w14:textId="77777777" w:rsidTr="00504835">
        <w:trPr>
          <w:tblCellSpacing w:w="15" w:type="dxa"/>
        </w:trPr>
        <w:tc>
          <w:tcPr>
            <w:tcW w:w="0" w:type="auto"/>
            <w:vAlign w:val="center"/>
            <w:hideMark/>
          </w:tcPr>
          <w:p w14:paraId="787AD12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24</w:t>
            </w:r>
          </w:p>
        </w:tc>
        <w:tc>
          <w:tcPr>
            <w:tcW w:w="0" w:type="auto"/>
            <w:vAlign w:val="center"/>
            <w:hideMark/>
          </w:tcPr>
          <w:p w14:paraId="1AB6DEB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Repeated operational friction affects cost efficiency</w:t>
            </w:r>
          </w:p>
        </w:tc>
        <w:tc>
          <w:tcPr>
            <w:tcW w:w="0" w:type="auto"/>
            <w:vAlign w:val="center"/>
            <w:hideMark/>
          </w:tcPr>
          <w:p w14:paraId="748A338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6</w:t>
            </w:r>
          </w:p>
        </w:tc>
        <w:tc>
          <w:tcPr>
            <w:tcW w:w="0" w:type="auto"/>
            <w:vAlign w:val="center"/>
            <w:hideMark/>
          </w:tcPr>
          <w:p w14:paraId="74E8566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w:t>
            </w:r>
          </w:p>
        </w:tc>
        <w:tc>
          <w:tcPr>
            <w:tcW w:w="0" w:type="auto"/>
            <w:vAlign w:val="center"/>
            <w:hideMark/>
          </w:tcPr>
          <w:p w14:paraId="10469CE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18</w:t>
            </w:r>
          </w:p>
        </w:tc>
        <w:tc>
          <w:tcPr>
            <w:tcW w:w="0" w:type="auto"/>
            <w:vAlign w:val="center"/>
            <w:hideMark/>
          </w:tcPr>
          <w:p w14:paraId="7FFD554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78D8D720" w14:textId="77777777" w:rsidTr="00504835">
        <w:trPr>
          <w:tblCellSpacing w:w="15" w:type="dxa"/>
        </w:trPr>
        <w:tc>
          <w:tcPr>
            <w:tcW w:w="0" w:type="auto"/>
            <w:vAlign w:val="center"/>
            <w:hideMark/>
          </w:tcPr>
          <w:p w14:paraId="3E76DFA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25</w:t>
            </w:r>
          </w:p>
        </w:tc>
        <w:tc>
          <w:tcPr>
            <w:tcW w:w="0" w:type="auto"/>
            <w:vAlign w:val="center"/>
            <w:hideMark/>
          </w:tcPr>
          <w:p w14:paraId="716FCF4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Process or system weakness causes moderate service disruption</w:t>
            </w:r>
          </w:p>
        </w:tc>
        <w:tc>
          <w:tcPr>
            <w:tcW w:w="0" w:type="auto"/>
            <w:vAlign w:val="center"/>
            <w:hideMark/>
          </w:tcPr>
          <w:p w14:paraId="6970CCE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6</w:t>
            </w:r>
          </w:p>
        </w:tc>
        <w:tc>
          <w:tcPr>
            <w:tcW w:w="0" w:type="auto"/>
            <w:vAlign w:val="center"/>
            <w:hideMark/>
          </w:tcPr>
          <w:p w14:paraId="2771DDF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w:t>
            </w:r>
          </w:p>
        </w:tc>
        <w:tc>
          <w:tcPr>
            <w:tcW w:w="0" w:type="auto"/>
            <w:vAlign w:val="center"/>
            <w:hideMark/>
          </w:tcPr>
          <w:p w14:paraId="565C0B1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30</w:t>
            </w:r>
          </w:p>
        </w:tc>
        <w:tc>
          <w:tcPr>
            <w:tcW w:w="0" w:type="auto"/>
            <w:vAlign w:val="center"/>
            <w:hideMark/>
          </w:tcPr>
          <w:p w14:paraId="242349F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23A28265" w14:textId="77777777" w:rsidTr="00504835">
        <w:trPr>
          <w:tblCellSpacing w:w="15" w:type="dxa"/>
        </w:trPr>
        <w:tc>
          <w:tcPr>
            <w:tcW w:w="0" w:type="auto"/>
            <w:vAlign w:val="center"/>
            <w:hideMark/>
          </w:tcPr>
          <w:p w14:paraId="31C1DD6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26</w:t>
            </w:r>
          </w:p>
        </w:tc>
        <w:tc>
          <w:tcPr>
            <w:tcW w:w="0" w:type="auto"/>
            <w:vAlign w:val="center"/>
            <w:hideMark/>
          </w:tcPr>
          <w:p w14:paraId="7556F50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Competitive and technology risks affect market confidence</w:t>
            </w:r>
          </w:p>
        </w:tc>
        <w:tc>
          <w:tcPr>
            <w:tcW w:w="0" w:type="auto"/>
            <w:vAlign w:val="center"/>
            <w:hideMark/>
          </w:tcPr>
          <w:p w14:paraId="24040EF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w:t>
            </w:r>
          </w:p>
        </w:tc>
        <w:tc>
          <w:tcPr>
            <w:tcW w:w="0" w:type="auto"/>
            <w:vAlign w:val="center"/>
            <w:hideMark/>
          </w:tcPr>
          <w:p w14:paraId="4ABF4E1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w:t>
            </w:r>
          </w:p>
        </w:tc>
        <w:tc>
          <w:tcPr>
            <w:tcW w:w="0" w:type="auto"/>
            <w:vAlign w:val="center"/>
            <w:hideMark/>
          </w:tcPr>
          <w:p w14:paraId="28235D7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40</w:t>
            </w:r>
          </w:p>
        </w:tc>
        <w:tc>
          <w:tcPr>
            <w:tcW w:w="0" w:type="auto"/>
            <w:vAlign w:val="center"/>
            <w:hideMark/>
          </w:tcPr>
          <w:p w14:paraId="6FC6406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3D24C724" w14:textId="77777777" w:rsidTr="00504835">
        <w:trPr>
          <w:tblCellSpacing w:w="15" w:type="dxa"/>
        </w:trPr>
        <w:tc>
          <w:tcPr>
            <w:tcW w:w="0" w:type="auto"/>
            <w:vAlign w:val="center"/>
            <w:hideMark/>
          </w:tcPr>
          <w:p w14:paraId="2C712CA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27</w:t>
            </w:r>
          </w:p>
        </w:tc>
        <w:tc>
          <w:tcPr>
            <w:tcW w:w="0" w:type="auto"/>
            <w:vAlign w:val="center"/>
            <w:hideMark/>
          </w:tcPr>
          <w:p w14:paraId="0CCA622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Critical enterprise-wide disruption creates severe financial risk</w:t>
            </w:r>
          </w:p>
        </w:tc>
        <w:tc>
          <w:tcPr>
            <w:tcW w:w="0" w:type="auto"/>
            <w:vAlign w:val="center"/>
            <w:hideMark/>
          </w:tcPr>
          <w:p w14:paraId="4B242C1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45BC317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5FC37F0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81</w:t>
            </w:r>
          </w:p>
        </w:tc>
        <w:tc>
          <w:tcPr>
            <w:tcW w:w="0" w:type="auto"/>
            <w:vAlign w:val="center"/>
            <w:hideMark/>
          </w:tcPr>
          <w:p w14:paraId="69ECD14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654E048E" w14:textId="77777777" w:rsidTr="00504835">
        <w:trPr>
          <w:tblCellSpacing w:w="15" w:type="dxa"/>
        </w:trPr>
        <w:tc>
          <w:tcPr>
            <w:tcW w:w="0" w:type="auto"/>
            <w:vAlign w:val="center"/>
            <w:hideMark/>
          </w:tcPr>
          <w:p w14:paraId="46F874B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28</w:t>
            </w:r>
          </w:p>
        </w:tc>
        <w:tc>
          <w:tcPr>
            <w:tcW w:w="0" w:type="auto"/>
            <w:vAlign w:val="center"/>
            <w:hideMark/>
          </w:tcPr>
          <w:p w14:paraId="44A252A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High-likelihood risk causes meaningful strategic and service impact</w:t>
            </w:r>
          </w:p>
        </w:tc>
        <w:tc>
          <w:tcPr>
            <w:tcW w:w="0" w:type="auto"/>
            <w:vAlign w:val="center"/>
            <w:hideMark/>
          </w:tcPr>
          <w:p w14:paraId="2249465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701BDBC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w:t>
            </w:r>
          </w:p>
        </w:tc>
        <w:tc>
          <w:tcPr>
            <w:tcW w:w="0" w:type="auto"/>
            <w:vAlign w:val="center"/>
            <w:hideMark/>
          </w:tcPr>
          <w:p w14:paraId="77CC5F2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45</w:t>
            </w:r>
          </w:p>
        </w:tc>
        <w:tc>
          <w:tcPr>
            <w:tcW w:w="0" w:type="auto"/>
            <w:vAlign w:val="center"/>
            <w:hideMark/>
          </w:tcPr>
          <w:p w14:paraId="766A410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7DC108A2" w14:textId="77777777" w:rsidTr="00504835">
        <w:trPr>
          <w:tblCellSpacing w:w="15" w:type="dxa"/>
        </w:trPr>
        <w:tc>
          <w:tcPr>
            <w:tcW w:w="0" w:type="auto"/>
            <w:vAlign w:val="center"/>
            <w:hideMark/>
          </w:tcPr>
          <w:p w14:paraId="7D11B96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lastRenderedPageBreak/>
              <w:t>Risk 29</w:t>
            </w:r>
          </w:p>
        </w:tc>
        <w:tc>
          <w:tcPr>
            <w:tcW w:w="0" w:type="auto"/>
            <w:vAlign w:val="center"/>
            <w:hideMark/>
          </w:tcPr>
          <w:p w14:paraId="2C020A3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Regulatory or reputational event creates serious business exposure</w:t>
            </w:r>
          </w:p>
        </w:tc>
        <w:tc>
          <w:tcPr>
            <w:tcW w:w="0" w:type="auto"/>
            <w:vAlign w:val="center"/>
            <w:hideMark/>
          </w:tcPr>
          <w:p w14:paraId="654DE41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w:t>
            </w:r>
          </w:p>
        </w:tc>
        <w:tc>
          <w:tcPr>
            <w:tcW w:w="0" w:type="auto"/>
            <w:vAlign w:val="center"/>
            <w:hideMark/>
          </w:tcPr>
          <w:p w14:paraId="78356FC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350ECC9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36</w:t>
            </w:r>
          </w:p>
        </w:tc>
        <w:tc>
          <w:tcPr>
            <w:tcW w:w="0" w:type="auto"/>
            <w:vAlign w:val="center"/>
            <w:hideMark/>
          </w:tcPr>
          <w:p w14:paraId="13CB6A7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430A37ED" w14:textId="77777777" w:rsidTr="00504835">
        <w:trPr>
          <w:tblCellSpacing w:w="15" w:type="dxa"/>
        </w:trPr>
        <w:tc>
          <w:tcPr>
            <w:tcW w:w="0" w:type="auto"/>
            <w:vAlign w:val="center"/>
            <w:hideMark/>
          </w:tcPr>
          <w:p w14:paraId="71753D2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30</w:t>
            </w:r>
          </w:p>
        </w:tc>
        <w:tc>
          <w:tcPr>
            <w:tcW w:w="0" w:type="auto"/>
            <w:vAlign w:val="center"/>
            <w:hideMark/>
          </w:tcPr>
          <w:p w14:paraId="39B7658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Strategic and operational pressure increases competitive vulnerability</w:t>
            </w:r>
          </w:p>
        </w:tc>
        <w:tc>
          <w:tcPr>
            <w:tcW w:w="0" w:type="auto"/>
            <w:vAlign w:val="center"/>
            <w:hideMark/>
          </w:tcPr>
          <w:p w14:paraId="4BBE784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6</w:t>
            </w:r>
          </w:p>
        </w:tc>
        <w:tc>
          <w:tcPr>
            <w:tcW w:w="0" w:type="auto"/>
            <w:vAlign w:val="center"/>
            <w:hideMark/>
          </w:tcPr>
          <w:p w14:paraId="651846C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w:t>
            </w:r>
          </w:p>
        </w:tc>
        <w:tc>
          <w:tcPr>
            <w:tcW w:w="0" w:type="auto"/>
            <w:vAlign w:val="center"/>
            <w:hideMark/>
          </w:tcPr>
          <w:p w14:paraId="6F5F3E9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42</w:t>
            </w:r>
          </w:p>
        </w:tc>
        <w:tc>
          <w:tcPr>
            <w:tcW w:w="0" w:type="auto"/>
            <w:vAlign w:val="center"/>
            <w:hideMark/>
          </w:tcPr>
          <w:p w14:paraId="33F116F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077BD5D9" w14:textId="77777777" w:rsidTr="00504835">
        <w:trPr>
          <w:tblCellSpacing w:w="15" w:type="dxa"/>
        </w:trPr>
        <w:tc>
          <w:tcPr>
            <w:tcW w:w="0" w:type="auto"/>
            <w:vAlign w:val="center"/>
            <w:hideMark/>
          </w:tcPr>
          <w:p w14:paraId="7A105C2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31</w:t>
            </w:r>
          </w:p>
        </w:tc>
        <w:tc>
          <w:tcPr>
            <w:tcW w:w="0" w:type="auto"/>
            <w:vAlign w:val="center"/>
            <w:hideMark/>
          </w:tcPr>
          <w:p w14:paraId="60AC5B4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Low-likelihood but high-impact risk remains important to monitor</w:t>
            </w:r>
          </w:p>
        </w:tc>
        <w:tc>
          <w:tcPr>
            <w:tcW w:w="0" w:type="auto"/>
            <w:vAlign w:val="center"/>
            <w:hideMark/>
          </w:tcPr>
          <w:p w14:paraId="4F375AA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2</w:t>
            </w:r>
          </w:p>
        </w:tc>
        <w:tc>
          <w:tcPr>
            <w:tcW w:w="0" w:type="auto"/>
            <w:vAlign w:val="center"/>
            <w:hideMark/>
          </w:tcPr>
          <w:p w14:paraId="199ED0E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9</w:t>
            </w:r>
          </w:p>
        </w:tc>
        <w:tc>
          <w:tcPr>
            <w:tcW w:w="0" w:type="auto"/>
            <w:vAlign w:val="center"/>
            <w:hideMark/>
          </w:tcPr>
          <w:p w14:paraId="7CC0116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18</w:t>
            </w:r>
          </w:p>
        </w:tc>
        <w:tc>
          <w:tcPr>
            <w:tcW w:w="0" w:type="auto"/>
            <w:vAlign w:val="center"/>
            <w:hideMark/>
          </w:tcPr>
          <w:p w14:paraId="6F68185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r w:rsidR="009E63E1" w:rsidRPr="00043DFD" w14:paraId="0FFA2D42" w14:textId="77777777" w:rsidTr="00504835">
        <w:trPr>
          <w:tblCellSpacing w:w="15" w:type="dxa"/>
        </w:trPr>
        <w:tc>
          <w:tcPr>
            <w:tcW w:w="0" w:type="auto"/>
            <w:vAlign w:val="center"/>
            <w:hideMark/>
          </w:tcPr>
          <w:p w14:paraId="34C7978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32</w:t>
            </w:r>
          </w:p>
        </w:tc>
        <w:tc>
          <w:tcPr>
            <w:tcW w:w="0" w:type="auto"/>
            <w:vAlign w:val="center"/>
            <w:hideMark/>
          </w:tcPr>
          <w:p w14:paraId="680C407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 competitive threat affects growth potential</w:t>
            </w:r>
          </w:p>
        </w:tc>
        <w:tc>
          <w:tcPr>
            <w:tcW w:w="0" w:type="auto"/>
            <w:vAlign w:val="center"/>
            <w:hideMark/>
          </w:tcPr>
          <w:p w14:paraId="3912518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1</w:t>
            </w:r>
          </w:p>
        </w:tc>
        <w:tc>
          <w:tcPr>
            <w:tcW w:w="0" w:type="auto"/>
            <w:vAlign w:val="center"/>
            <w:hideMark/>
          </w:tcPr>
          <w:p w14:paraId="0ECE6D4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w:t>
            </w:r>
          </w:p>
        </w:tc>
        <w:tc>
          <w:tcPr>
            <w:tcW w:w="0" w:type="auto"/>
            <w:vAlign w:val="center"/>
            <w:hideMark/>
          </w:tcPr>
          <w:p w14:paraId="2043105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w:t>
            </w:r>
          </w:p>
        </w:tc>
        <w:tc>
          <w:tcPr>
            <w:tcW w:w="0" w:type="auto"/>
            <w:vAlign w:val="center"/>
            <w:hideMark/>
          </w:tcPr>
          <w:p w14:paraId="47D6A16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Low</w:t>
            </w:r>
          </w:p>
        </w:tc>
      </w:tr>
    </w:tbl>
    <w:p w14:paraId="0BA6EBBC" w14:textId="77777777" w:rsidR="009E63E1" w:rsidRPr="00043DFD" w:rsidRDefault="009E63E1" w:rsidP="009E63E1">
      <w:pPr>
        <w:rPr>
          <w:rFonts w:ascii="Times New Roman" w:hAnsi="Times New Roman" w:cs="Times New Roman"/>
          <w:sz w:val="24"/>
          <w:szCs w:val="24"/>
        </w:rPr>
      </w:pPr>
    </w:p>
    <w:p w14:paraId="1DAE4BF6" w14:textId="77777777" w:rsidR="009E63E1" w:rsidRPr="00043DFD" w:rsidRDefault="009E63E1" w:rsidP="009E63E1">
      <w:pPr>
        <w:rPr>
          <w:rFonts w:ascii="Times New Roman" w:hAnsi="Times New Roman" w:cs="Times New Roman"/>
          <w:sz w:val="24"/>
          <w:szCs w:val="24"/>
        </w:rPr>
      </w:pPr>
    </w:p>
    <w:p w14:paraId="42A4ECD7" w14:textId="11FEA200" w:rsidR="009E63E1" w:rsidRPr="00043DFD" w:rsidRDefault="009E63E1" w:rsidP="009E63E1">
      <w:pPr>
        <w:rPr>
          <w:rFonts w:ascii="Times New Roman" w:hAnsi="Times New Roman" w:cs="Times New Roman"/>
          <w:b/>
          <w:bCs/>
          <w:sz w:val="24"/>
          <w:szCs w:val="24"/>
        </w:rPr>
      </w:pPr>
      <w:r w:rsidRPr="00043DFD">
        <w:rPr>
          <w:rFonts w:ascii="Times New Roman" w:hAnsi="Times New Roman" w:cs="Times New Roman"/>
          <w:b/>
          <w:bCs/>
          <w:sz w:val="24"/>
          <w:szCs w:val="24"/>
        </w:rPr>
        <w:t xml:space="preserve"> Risk Register</w:t>
      </w:r>
    </w:p>
    <w:p w14:paraId="4C1ED117" w14:textId="77777777" w:rsidR="009E63E1" w:rsidRPr="00043DFD" w:rsidRDefault="009E63E1" w:rsidP="009E63E1">
      <w:pPr>
        <w:rPr>
          <w:rFonts w:ascii="Times New Roman" w:hAnsi="Times New Roman" w:cs="Times New Roman"/>
          <w:sz w:val="24"/>
          <w:szCs w:val="24"/>
        </w:rPr>
      </w:pPr>
      <w:r w:rsidRPr="00043DFD">
        <w:rPr>
          <w:rFonts w:ascii="Times New Roman" w:hAnsi="Times New Roman" w:cs="Times New Roman"/>
          <w:sz w:val="24"/>
          <w:szCs w:val="24"/>
        </w:rPr>
        <w:t>The risk register was updated directly from the calculation sheet by transferring each risk’s likelihood, impact, total score, and category into a summarized management view. This helps ensure consistency between the numeric calculations and the visual heat 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2160"/>
        <w:gridCol w:w="4150"/>
        <w:gridCol w:w="649"/>
        <w:gridCol w:w="1177"/>
      </w:tblGrid>
      <w:tr w:rsidR="009E63E1" w:rsidRPr="00043DFD" w14:paraId="2A4B4B5E" w14:textId="77777777" w:rsidTr="00504835">
        <w:trPr>
          <w:tblHeader/>
          <w:tblCellSpacing w:w="15" w:type="dxa"/>
        </w:trPr>
        <w:tc>
          <w:tcPr>
            <w:tcW w:w="0" w:type="auto"/>
            <w:vAlign w:val="center"/>
            <w:hideMark/>
          </w:tcPr>
          <w:p w14:paraId="55484927"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Risk ID</w:t>
            </w:r>
          </w:p>
        </w:tc>
        <w:tc>
          <w:tcPr>
            <w:tcW w:w="0" w:type="auto"/>
            <w:vAlign w:val="center"/>
            <w:hideMark/>
          </w:tcPr>
          <w:p w14:paraId="512B494A"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Category</w:t>
            </w:r>
          </w:p>
        </w:tc>
        <w:tc>
          <w:tcPr>
            <w:tcW w:w="0" w:type="auto"/>
            <w:vAlign w:val="center"/>
            <w:hideMark/>
          </w:tcPr>
          <w:p w14:paraId="04A779D9"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Risk Description</w:t>
            </w:r>
          </w:p>
        </w:tc>
        <w:tc>
          <w:tcPr>
            <w:tcW w:w="0" w:type="auto"/>
            <w:vAlign w:val="center"/>
            <w:hideMark/>
          </w:tcPr>
          <w:p w14:paraId="27FA24C5"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Score</w:t>
            </w:r>
          </w:p>
        </w:tc>
        <w:tc>
          <w:tcPr>
            <w:tcW w:w="0" w:type="auto"/>
            <w:vAlign w:val="center"/>
            <w:hideMark/>
          </w:tcPr>
          <w:p w14:paraId="4261501D" w14:textId="77777777" w:rsidR="009E63E1" w:rsidRPr="00043DFD" w:rsidRDefault="009E63E1" w:rsidP="00504835">
            <w:pPr>
              <w:rPr>
                <w:rFonts w:ascii="Times New Roman" w:hAnsi="Times New Roman" w:cs="Times New Roman"/>
                <w:b/>
                <w:bCs/>
                <w:sz w:val="24"/>
                <w:szCs w:val="24"/>
              </w:rPr>
            </w:pPr>
            <w:r w:rsidRPr="00043DFD">
              <w:rPr>
                <w:rFonts w:ascii="Times New Roman" w:hAnsi="Times New Roman" w:cs="Times New Roman"/>
                <w:b/>
                <w:bCs/>
                <w:sz w:val="24"/>
                <w:szCs w:val="24"/>
              </w:rPr>
              <w:t>Risk Level</w:t>
            </w:r>
          </w:p>
        </w:tc>
      </w:tr>
      <w:tr w:rsidR="009E63E1" w:rsidRPr="00043DFD" w14:paraId="20B49628" w14:textId="77777777" w:rsidTr="00504835">
        <w:trPr>
          <w:tblCellSpacing w:w="15" w:type="dxa"/>
        </w:trPr>
        <w:tc>
          <w:tcPr>
            <w:tcW w:w="0" w:type="auto"/>
            <w:vAlign w:val="center"/>
            <w:hideMark/>
          </w:tcPr>
          <w:p w14:paraId="25971F08"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w:t>
            </w:r>
          </w:p>
        </w:tc>
        <w:tc>
          <w:tcPr>
            <w:tcW w:w="0" w:type="auto"/>
            <w:vAlign w:val="center"/>
            <w:hideMark/>
          </w:tcPr>
          <w:p w14:paraId="318E2D2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Strategic</w:t>
            </w:r>
          </w:p>
        </w:tc>
        <w:tc>
          <w:tcPr>
            <w:tcW w:w="0" w:type="auto"/>
            <w:vAlign w:val="center"/>
            <w:hideMark/>
          </w:tcPr>
          <w:p w14:paraId="36661FC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Digital-first competitor pressure</w:t>
            </w:r>
          </w:p>
        </w:tc>
        <w:tc>
          <w:tcPr>
            <w:tcW w:w="0" w:type="auto"/>
            <w:vAlign w:val="center"/>
            <w:hideMark/>
          </w:tcPr>
          <w:p w14:paraId="06DF135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56</w:t>
            </w:r>
          </w:p>
        </w:tc>
        <w:tc>
          <w:tcPr>
            <w:tcW w:w="0" w:type="auto"/>
            <w:vAlign w:val="center"/>
            <w:hideMark/>
          </w:tcPr>
          <w:p w14:paraId="36F644A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6971AC56" w14:textId="77777777" w:rsidTr="00504835">
        <w:trPr>
          <w:tblCellSpacing w:w="15" w:type="dxa"/>
        </w:trPr>
        <w:tc>
          <w:tcPr>
            <w:tcW w:w="0" w:type="auto"/>
            <w:vAlign w:val="center"/>
            <w:hideMark/>
          </w:tcPr>
          <w:p w14:paraId="4AF14E0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5</w:t>
            </w:r>
          </w:p>
        </w:tc>
        <w:tc>
          <w:tcPr>
            <w:tcW w:w="0" w:type="auto"/>
            <w:vAlign w:val="center"/>
            <w:hideMark/>
          </w:tcPr>
          <w:p w14:paraId="264C3A8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Strategic</w:t>
            </w:r>
          </w:p>
        </w:tc>
        <w:tc>
          <w:tcPr>
            <w:tcW w:w="0" w:type="auto"/>
            <w:vAlign w:val="center"/>
            <w:hideMark/>
          </w:tcPr>
          <w:p w14:paraId="556E969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Severe disruption from fintech competition</w:t>
            </w:r>
          </w:p>
        </w:tc>
        <w:tc>
          <w:tcPr>
            <w:tcW w:w="0" w:type="auto"/>
            <w:vAlign w:val="center"/>
            <w:hideMark/>
          </w:tcPr>
          <w:p w14:paraId="0E945CF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81</w:t>
            </w:r>
          </w:p>
        </w:tc>
        <w:tc>
          <w:tcPr>
            <w:tcW w:w="0" w:type="auto"/>
            <w:vAlign w:val="center"/>
            <w:hideMark/>
          </w:tcPr>
          <w:p w14:paraId="6CBEA94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14C1ACC6" w14:textId="77777777" w:rsidTr="00504835">
        <w:trPr>
          <w:tblCellSpacing w:w="15" w:type="dxa"/>
        </w:trPr>
        <w:tc>
          <w:tcPr>
            <w:tcW w:w="0" w:type="auto"/>
            <w:vAlign w:val="center"/>
            <w:hideMark/>
          </w:tcPr>
          <w:p w14:paraId="48ED567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6</w:t>
            </w:r>
          </w:p>
        </w:tc>
        <w:tc>
          <w:tcPr>
            <w:tcW w:w="0" w:type="auto"/>
            <w:vAlign w:val="center"/>
            <w:hideMark/>
          </w:tcPr>
          <w:p w14:paraId="541A799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Technology</w:t>
            </w:r>
          </w:p>
        </w:tc>
        <w:tc>
          <w:tcPr>
            <w:tcW w:w="0" w:type="auto"/>
            <w:vAlign w:val="center"/>
            <w:hideMark/>
          </w:tcPr>
          <w:p w14:paraId="16B8048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Major technology failure</w:t>
            </w:r>
          </w:p>
        </w:tc>
        <w:tc>
          <w:tcPr>
            <w:tcW w:w="0" w:type="auto"/>
            <w:vAlign w:val="center"/>
            <w:hideMark/>
          </w:tcPr>
          <w:p w14:paraId="2C91907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54</w:t>
            </w:r>
          </w:p>
        </w:tc>
        <w:tc>
          <w:tcPr>
            <w:tcW w:w="0" w:type="auto"/>
            <w:vAlign w:val="center"/>
            <w:hideMark/>
          </w:tcPr>
          <w:p w14:paraId="6761247D"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134FD6D5" w14:textId="77777777" w:rsidTr="00504835">
        <w:trPr>
          <w:tblCellSpacing w:w="15" w:type="dxa"/>
        </w:trPr>
        <w:tc>
          <w:tcPr>
            <w:tcW w:w="0" w:type="auto"/>
            <w:vAlign w:val="center"/>
            <w:hideMark/>
          </w:tcPr>
          <w:p w14:paraId="650DE7D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11</w:t>
            </w:r>
          </w:p>
        </w:tc>
        <w:tc>
          <w:tcPr>
            <w:tcW w:w="0" w:type="auto"/>
            <w:vAlign w:val="center"/>
            <w:hideMark/>
          </w:tcPr>
          <w:p w14:paraId="618420F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Technology</w:t>
            </w:r>
          </w:p>
        </w:tc>
        <w:tc>
          <w:tcPr>
            <w:tcW w:w="0" w:type="auto"/>
            <w:vAlign w:val="center"/>
            <w:hideMark/>
          </w:tcPr>
          <w:p w14:paraId="24F2436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Cybersecurity weaknesses</w:t>
            </w:r>
          </w:p>
        </w:tc>
        <w:tc>
          <w:tcPr>
            <w:tcW w:w="0" w:type="auto"/>
            <w:vAlign w:val="center"/>
            <w:hideMark/>
          </w:tcPr>
          <w:p w14:paraId="7D0FC64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40</w:t>
            </w:r>
          </w:p>
        </w:tc>
        <w:tc>
          <w:tcPr>
            <w:tcW w:w="0" w:type="auto"/>
            <w:vAlign w:val="center"/>
            <w:hideMark/>
          </w:tcPr>
          <w:p w14:paraId="6136EDD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786B0C67" w14:textId="77777777" w:rsidTr="00504835">
        <w:trPr>
          <w:tblCellSpacing w:w="15" w:type="dxa"/>
        </w:trPr>
        <w:tc>
          <w:tcPr>
            <w:tcW w:w="0" w:type="auto"/>
            <w:vAlign w:val="center"/>
            <w:hideMark/>
          </w:tcPr>
          <w:p w14:paraId="78F16EE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12</w:t>
            </w:r>
          </w:p>
        </w:tc>
        <w:tc>
          <w:tcPr>
            <w:tcW w:w="0" w:type="auto"/>
            <w:vAlign w:val="center"/>
            <w:hideMark/>
          </w:tcPr>
          <w:p w14:paraId="6138D010"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Compliance/Strategic</w:t>
            </w:r>
          </w:p>
        </w:tc>
        <w:tc>
          <w:tcPr>
            <w:tcW w:w="0" w:type="auto"/>
            <w:vAlign w:val="center"/>
            <w:hideMark/>
          </w:tcPr>
          <w:p w14:paraId="5B92D38C"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Major compliance or market exposure</w:t>
            </w:r>
          </w:p>
        </w:tc>
        <w:tc>
          <w:tcPr>
            <w:tcW w:w="0" w:type="auto"/>
            <w:vAlign w:val="center"/>
            <w:hideMark/>
          </w:tcPr>
          <w:p w14:paraId="2ACA849E"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63</w:t>
            </w:r>
          </w:p>
        </w:tc>
        <w:tc>
          <w:tcPr>
            <w:tcW w:w="0" w:type="auto"/>
            <w:vAlign w:val="center"/>
            <w:hideMark/>
          </w:tcPr>
          <w:p w14:paraId="364E644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37CC414F" w14:textId="77777777" w:rsidTr="00504835">
        <w:trPr>
          <w:tblCellSpacing w:w="15" w:type="dxa"/>
        </w:trPr>
        <w:tc>
          <w:tcPr>
            <w:tcW w:w="0" w:type="auto"/>
            <w:vAlign w:val="center"/>
            <w:hideMark/>
          </w:tcPr>
          <w:p w14:paraId="3DC7C63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15</w:t>
            </w:r>
          </w:p>
        </w:tc>
        <w:tc>
          <w:tcPr>
            <w:tcW w:w="0" w:type="auto"/>
            <w:vAlign w:val="center"/>
            <w:hideMark/>
          </w:tcPr>
          <w:p w14:paraId="340C6DD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Regulatory/Strategic</w:t>
            </w:r>
          </w:p>
        </w:tc>
        <w:tc>
          <w:tcPr>
            <w:tcW w:w="0" w:type="auto"/>
            <w:vAlign w:val="center"/>
            <w:hideMark/>
          </w:tcPr>
          <w:p w14:paraId="5BDDE775"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High-impact regulatory failure</w:t>
            </w:r>
          </w:p>
        </w:tc>
        <w:tc>
          <w:tcPr>
            <w:tcW w:w="0" w:type="auto"/>
            <w:vAlign w:val="center"/>
            <w:hideMark/>
          </w:tcPr>
          <w:p w14:paraId="6B0548F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72</w:t>
            </w:r>
          </w:p>
        </w:tc>
        <w:tc>
          <w:tcPr>
            <w:tcW w:w="0" w:type="auto"/>
            <w:vAlign w:val="center"/>
            <w:hideMark/>
          </w:tcPr>
          <w:p w14:paraId="44CE422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3C2E987F" w14:textId="77777777" w:rsidTr="00504835">
        <w:trPr>
          <w:tblCellSpacing w:w="15" w:type="dxa"/>
        </w:trPr>
        <w:tc>
          <w:tcPr>
            <w:tcW w:w="0" w:type="auto"/>
            <w:vAlign w:val="center"/>
            <w:hideMark/>
          </w:tcPr>
          <w:p w14:paraId="31F2528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25</w:t>
            </w:r>
          </w:p>
        </w:tc>
        <w:tc>
          <w:tcPr>
            <w:tcW w:w="0" w:type="auto"/>
            <w:vAlign w:val="center"/>
            <w:hideMark/>
          </w:tcPr>
          <w:p w14:paraId="38561024"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Operational</w:t>
            </w:r>
          </w:p>
        </w:tc>
        <w:tc>
          <w:tcPr>
            <w:tcW w:w="0" w:type="auto"/>
            <w:vAlign w:val="center"/>
            <w:hideMark/>
          </w:tcPr>
          <w:p w14:paraId="58B606E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 service disruption</w:t>
            </w:r>
          </w:p>
        </w:tc>
        <w:tc>
          <w:tcPr>
            <w:tcW w:w="0" w:type="auto"/>
            <w:vAlign w:val="center"/>
            <w:hideMark/>
          </w:tcPr>
          <w:p w14:paraId="5A338CE1"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30</w:t>
            </w:r>
          </w:p>
        </w:tc>
        <w:tc>
          <w:tcPr>
            <w:tcW w:w="0" w:type="auto"/>
            <w:vAlign w:val="center"/>
            <w:hideMark/>
          </w:tcPr>
          <w:p w14:paraId="06B08017"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Moderate</w:t>
            </w:r>
          </w:p>
        </w:tc>
      </w:tr>
      <w:tr w:rsidR="009E63E1" w:rsidRPr="00043DFD" w14:paraId="4259AE8E" w14:textId="77777777" w:rsidTr="00504835">
        <w:trPr>
          <w:tblCellSpacing w:w="15" w:type="dxa"/>
        </w:trPr>
        <w:tc>
          <w:tcPr>
            <w:tcW w:w="0" w:type="auto"/>
            <w:vAlign w:val="center"/>
            <w:hideMark/>
          </w:tcPr>
          <w:p w14:paraId="629D051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27</w:t>
            </w:r>
          </w:p>
        </w:tc>
        <w:tc>
          <w:tcPr>
            <w:tcW w:w="0" w:type="auto"/>
            <w:vAlign w:val="center"/>
            <w:hideMark/>
          </w:tcPr>
          <w:p w14:paraId="3CD8619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Enterprise</w:t>
            </w:r>
          </w:p>
        </w:tc>
        <w:tc>
          <w:tcPr>
            <w:tcW w:w="0" w:type="auto"/>
            <w:vAlign w:val="center"/>
            <w:hideMark/>
          </w:tcPr>
          <w:p w14:paraId="54241CA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Critical enterprise-wide disruption</w:t>
            </w:r>
          </w:p>
        </w:tc>
        <w:tc>
          <w:tcPr>
            <w:tcW w:w="0" w:type="auto"/>
            <w:vAlign w:val="center"/>
            <w:hideMark/>
          </w:tcPr>
          <w:p w14:paraId="086CA4EA"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81</w:t>
            </w:r>
          </w:p>
        </w:tc>
        <w:tc>
          <w:tcPr>
            <w:tcW w:w="0" w:type="auto"/>
            <w:vAlign w:val="center"/>
            <w:hideMark/>
          </w:tcPr>
          <w:p w14:paraId="4AFF61D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0DD822F8" w14:textId="77777777" w:rsidTr="00504835">
        <w:trPr>
          <w:tblCellSpacing w:w="15" w:type="dxa"/>
        </w:trPr>
        <w:tc>
          <w:tcPr>
            <w:tcW w:w="0" w:type="auto"/>
            <w:vAlign w:val="center"/>
            <w:hideMark/>
          </w:tcPr>
          <w:p w14:paraId="058A4692"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28</w:t>
            </w:r>
          </w:p>
        </w:tc>
        <w:tc>
          <w:tcPr>
            <w:tcW w:w="0" w:type="auto"/>
            <w:vAlign w:val="center"/>
            <w:hideMark/>
          </w:tcPr>
          <w:p w14:paraId="24C1FF5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Strategic</w:t>
            </w:r>
          </w:p>
        </w:tc>
        <w:tc>
          <w:tcPr>
            <w:tcW w:w="0" w:type="auto"/>
            <w:vAlign w:val="center"/>
            <w:hideMark/>
          </w:tcPr>
          <w:p w14:paraId="416E990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High-likelihood strategic risk</w:t>
            </w:r>
          </w:p>
        </w:tc>
        <w:tc>
          <w:tcPr>
            <w:tcW w:w="0" w:type="auto"/>
            <w:vAlign w:val="center"/>
            <w:hideMark/>
          </w:tcPr>
          <w:p w14:paraId="4AF29B1B"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45</w:t>
            </w:r>
          </w:p>
        </w:tc>
        <w:tc>
          <w:tcPr>
            <w:tcW w:w="0" w:type="auto"/>
            <w:vAlign w:val="center"/>
            <w:hideMark/>
          </w:tcPr>
          <w:p w14:paraId="58353FA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r w:rsidR="009E63E1" w:rsidRPr="00043DFD" w14:paraId="048D04B9" w14:textId="77777777" w:rsidTr="00504835">
        <w:trPr>
          <w:tblCellSpacing w:w="15" w:type="dxa"/>
        </w:trPr>
        <w:tc>
          <w:tcPr>
            <w:tcW w:w="0" w:type="auto"/>
            <w:vAlign w:val="center"/>
            <w:hideMark/>
          </w:tcPr>
          <w:p w14:paraId="37C23F23"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Risk 30</w:t>
            </w:r>
          </w:p>
        </w:tc>
        <w:tc>
          <w:tcPr>
            <w:tcW w:w="0" w:type="auto"/>
            <w:vAlign w:val="center"/>
            <w:hideMark/>
          </w:tcPr>
          <w:p w14:paraId="31FD00A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Strategic/Operational</w:t>
            </w:r>
          </w:p>
        </w:tc>
        <w:tc>
          <w:tcPr>
            <w:tcW w:w="0" w:type="auto"/>
            <w:vAlign w:val="center"/>
            <w:hideMark/>
          </w:tcPr>
          <w:p w14:paraId="520EBF76"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Competitive vulnerability</w:t>
            </w:r>
          </w:p>
        </w:tc>
        <w:tc>
          <w:tcPr>
            <w:tcW w:w="0" w:type="auto"/>
            <w:vAlign w:val="center"/>
            <w:hideMark/>
          </w:tcPr>
          <w:p w14:paraId="1AD405EF"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42</w:t>
            </w:r>
          </w:p>
        </w:tc>
        <w:tc>
          <w:tcPr>
            <w:tcW w:w="0" w:type="auto"/>
            <w:vAlign w:val="center"/>
            <w:hideMark/>
          </w:tcPr>
          <w:p w14:paraId="52F46329" w14:textId="77777777" w:rsidR="009E63E1" w:rsidRPr="00043DFD" w:rsidRDefault="009E63E1" w:rsidP="00504835">
            <w:pPr>
              <w:rPr>
                <w:rFonts w:ascii="Times New Roman" w:hAnsi="Times New Roman" w:cs="Times New Roman"/>
                <w:sz w:val="24"/>
                <w:szCs w:val="24"/>
              </w:rPr>
            </w:pPr>
            <w:r w:rsidRPr="00043DFD">
              <w:rPr>
                <w:rFonts w:ascii="Times New Roman" w:hAnsi="Times New Roman" w:cs="Times New Roman"/>
                <w:sz w:val="24"/>
                <w:szCs w:val="24"/>
              </w:rPr>
              <w:t>High</w:t>
            </w:r>
          </w:p>
        </w:tc>
      </w:tr>
    </w:tbl>
    <w:p w14:paraId="30FAE51B" w14:textId="77777777" w:rsidR="009E63E1" w:rsidRPr="00043DFD" w:rsidRDefault="009E63E1" w:rsidP="009E63E1">
      <w:pPr>
        <w:rPr>
          <w:rFonts w:ascii="Times New Roman" w:hAnsi="Times New Roman" w:cs="Times New Roman"/>
          <w:sz w:val="24"/>
          <w:szCs w:val="24"/>
        </w:rPr>
      </w:pPr>
    </w:p>
    <w:p w14:paraId="2434039E" w14:textId="77777777" w:rsidR="009E63E1" w:rsidRPr="00043DFD" w:rsidRDefault="009E63E1" w:rsidP="009E63E1">
      <w:pPr>
        <w:rPr>
          <w:rFonts w:ascii="Times New Roman" w:hAnsi="Times New Roman" w:cs="Times New Roman"/>
          <w:sz w:val="24"/>
          <w:szCs w:val="24"/>
        </w:rPr>
      </w:pPr>
      <w:r w:rsidRPr="00043DFD">
        <w:rPr>
          <w:rFonts w:ascii="Times New Roman" w:hAnsi="Times New Roman" w:cs="Times New Roman"/>
          <w:sz w:val="24"/>
          <w:szCs w:val="24"/>
        </w:rPr>
        <w:lastRenderedPageBreak/>
        <w:t>This register highlights the risks requiring the most urgent monitoring and response. In particular, Risks 5, 6, 12, 15, 27, 28, and 30 should receive priority due to their placement in the high-risk zone.</w:t>
      </w:r>
    </w:p>
    <w:p w14:paraId="7A7B90D2" w14:textId="77777777" w:rsidR="009E63E1" w:rsidRPr="00043DFD" w:rsidRDefault="009E63E1" w:rsidP="009E63E1">
      <w:pPr>
        <w:rPr>
          <w:rFonts w:ascii="Times New Roman" w:hAnsi="Times New Roman" w:cs="Times New Roman"/>
          <w:sz w:val="24"/>
          <w:szCs w:val="24"/>
        </w:rPr>
      </w:pPr>
    </w:p>
    <w:p w14:paraId="716FD2FB" w14:textId="77777777" w:rsidR="009E63E1" w:rsidRPr="00043DFD" w:rsidRDefault="009E63E1" w:rsidP="009E63E1">
      <w:pPr>
        <w:rPr>
          <w:rFonts w:ascii="Times New Roman" w:hAnsi="Times New Roman" w:cs="Times New Roman"/>
          <w:b/>
          <w:bCs/>
          <w:sz w:val="24"/>
          <w:szCs w:val="24"/>
        </w:rPr>
      </w:pPr>
      <w:r w:rsidRPr="00043DFD">
        <w:rPr>
          <w:rFonts w:ascii="Times New Roman" w:hAnsi="Times New Roman" w:cs="Times New Roman"/>
          <w:b/>
          <w:bCs/>
          <w:sz w:val="24"/>
          <w:szCs w:val="24"/>
        </w:rPr>
        <w:t>Heat Map Structure</w:t>
      </w:r>
    </w:p>
    <w:p w14:paraId="69FDC96A" w14:textId="77777777" w:rsidR="009E63E1" w:rsidRPr="00043DFD" w:rsidRDefault="009E63E1" w:rsidP="009E63E1">
      <w:pPr>
        <w:rPr>
          <w:rFonts w:ascii="Times New Roman" w:hAnsi="Times New Roman" w:cs="Times New Roman"/>
          <w:sz w:val="24"/>
          <w:szCs w:val="24"/>
        </w:rPr>
      </w:pPr>
      <w:r w:rsidRPr="00043DFD">
        <w:rPr>
          <w:rFonts w:ascii="Times New Roman" w:hAnsi="Times New Roman" w:cs="Times New Roman"/>
          <w:sz w:val="24"/>
          <w:szCs w:val="24"/>
        </w:rPr>
        <w:t>The heat map was designed with:</w:t>
      </w:r>
    </w:p>
    <w:p w14:paraId="4824C671" w14:textId="77777777" w:rsidR="009E63E1" w:rsidRPr="00043DFD" w:rsidRDefault="009E63E1" w:rsidP="009E63E1">
      <w:pPr>
        <w:numPr>
          <w:ilvl w:val="0"/>
          <w:numId w:val="1"/>
        </w:numPr>
        <w:spacing w:line="278" w:lineRule="auto"/>
        <w:rPr>
          <w:rFonts w:ascii="Times New Roman" w:hAnsi="Times New Roman" w:cs="Times New Roman"/>
          <w:sz w:val="24"/>
          <w:szCs w:val="24"/>
        </w:rPr>
      </w:pPr>
      <w:r w:rsidRPr="00043DFD">
        <w:rPr>
          <w:rFonts w:ascii="Times New Roman" w:hAnsi="Times New Roman" w:cs="Times New Roman"/>
          <w:b/>
          <w:bCs/>
          <w:sz w:val="24"/>
          <w:szCs w:val="24"/>
        </w:rPr>
        <w:t>X-axis = Likelihood</w:t>
      </w:r>
    </w:p>
    <w:p w14:paraId="45DDBC36" w14:textId="77777777" w:rsidR="009E63E1" w:rsidRPr="00043DFD" w:rsidRDefault="009E63E1" w:rsidP="009E63E1">
      <w:pPr>
        <w:numPr>
          <w:ilvl w:val="0"/>
          <w:numId w:val="1"/>
        </w:numPr>
        <w:spacing w:line="278" w:lineRule="auto"/>
        <w:rPr>
          <w:rFonts w:ascii="Times New Roman" w:hAnsi="Times New Roman" w:cs="Times New Roman"/>
          <w:sz w:val="24"/>
          <w:szCs w:val="24"/>
        </w:rPr>
      </w:pPr>
      <w:r w:rsidRPr="00043DFD">
        <w:rPr>
          <w:rFonts w:ascii="Times New Roman" w:hAnsi="Times New Roman" w:cs="Times New Roman"/>
          <w:b/>
          <w:bCs/>
          <w:sz w:val="24"/>
          <w:szCs w:val="24"/>
        </w:rPr>
        <w:t>Y-axis = Impact</w:t>
      </w:r>
    </w:p>
    <w:p w14:paraId="668A3151" w14:textId="12933560" w:rsidR="009E63E1" w:rsidRPr="00043DFD" w:rsidRDefault="009E63E1" w:rsidP="009E63E1">
      <w:pPr>
        <w:rPr>
          <w:rFonts w:ascii="Times New Roman" w:hAnsi="Times New Roman" w:cs="Times New Roman"/>
          <w:sz w:val="24"/>
          <w:szCs w:val="24"/>
        </w:rPr>
      </w:pPr>
      <w:r w:rsidRPr="00043DFD">
        <w:rPr>
          <w:rFonts w:ascii="Times New Roman" w:hAnsi="Times New Roman" w:cs="Times New Roman"/>
          <w:sz w:val="24"/>
          <w:szCs w:val="24"/>
        </w:rPr>
        <w:t xml:space="preserve">Each risk was plotted according to its likelihood and impact score. The map was </w:t>
      </w:r>
      <w:r w:rsidR="00043DFD" w:rsidRPr="00043DFD">
        <w:rPr>
          <w:rFonts w:ascii="Times New Roman" w:hAnsi="Times New Roman" w:cs="Times New Roman"/>
          <w:sz w:val="24"/>
          <w:szCs w:val="24"/>
        </w:rPr>
        <w:t>coloured</w:t>
      </w:r>
      <w:r w:rsidRPr="00043DFD">
        <w:rPr>
          <w:rFonts w:ascii="Times New Roman" w:hAnsi="Times New Roman" w:cs="Times New Roman"/>
          <w:sz w:val="24"/>
          <w:szCs w:val="24"/>
        </w:rPr>
        <w:t xml:space="preserve"> using three threshold bands:</w:t>
      </w:r>
    </w:p>
    <w:p w14:paraId="5E92D820" w14:textId="77777777" w:rsidR="009E63E1" w:rsidRPr="00043DFD" w:rsidRDefault="009E63E1" w:rsidP="009E63E1">
      <w:pPr>
        <w:numPr>
          <w:ilvl w:val="0"/>
          <w:numId w:val="2"/>
        </w:numPr>
        <w:spacing w:line="278" w:lineRule="auto"/>
        <w:rPr>
          <w:rFonts w:ascii="Times New Roman" w:hAnsi="Times New Roman" w:cs="Times New Roman"/>
          <w:sz w:val="24"/>
          <w:szCs w:val="24"/>
        </w:rPr>
      </w:pPr>
      <w:r w:rsidRPr="00043DFD">
        <w:rPr>
          <w:rFonts w:ascii="Times New Roman" w:hAnsi="Times New Roman" w:cs="Times New Roman"/>
          <w:b/>
          <w:bCs/>
          <w:sz w:val="24"/>
          <w:szCs w:val="24"/>
        </w:rPr>
        <w:t>Green = Low Risk (≤18)</w:t>
      </w:r>
    </w:p>
    <w:p w14:paraId="427A2C73" w14:textId="77777777" w:rsidR="009E63E1" w:rsidRPr="00043DFD" w:rsidRDefault="009E63E1" w:rsidP="009E63E1">
      <w:pPr>
        <w:numPr>
          <w:ilvl w:val="0"/>
          <w:numId w:val="2"/>
        </w:numPr>
        <w:spacing w:line="278" w:lineRule="auto"/>
        <w:rPr>
          <w:rFonts w:ascii="Times New Roman" w:hAnsi="Times New Roman" w:cs="Times New Roman"/>
          <w:sz w:val="24"/>
          <w:szCs w:val="24"/>
        </w:rPr>
      </w:pPr>
      <w:r w:rsidRPr="00043DFD">
        <w:rPr>
          <w:rFonts w:ascii="Times New Roman" w:hAnsi="Times New Roman" w:cs="Times New Roman"/>
          <w:b/>
          <w:bCs/>
          <w:sz w:val="24"/>
          <w:szCs w:val="24"/>
        </w:rPr>
        <w:t>Yellow = Moderate Risk (19–40)</w:t>
      </w:r>
    </w:p>
    <w:p w14:paraId="64081609" w14:textId="77777777" w:rsidR="009E63E1" w:rsidRPr="00043DFD" w:rsidRDefault="009E63E1" w:rsidP="009E63E1">
      <w:pPr>
        <w:numPr>
          <w:ilvl w:val="0"/>
          <w:numId w:val="2"/>
        </w:numPr>
        <w:spacing w:line="278" w:lineRule="auto"/>
        <w:rPr>
          <w:rFonts w:ascii="Times New Roman" w:hAnsi="Times New Roman" w:cs="Times New Roman"/>
          <w:sz w:val="24"/>
          <w:szCs w:val="24"/>
        </w:rPr>
      </w:pPr>
      <w:r w:rsidRPr="00043DFD">
        <w:rPr>
          <w:rFonts w:ascii="Times New Roman" w:hAnsi="Times New Roman" w:cs="Times New Roman"/>
          <w:b/>
          <w:bCs/>
          <w:sz w:val="24"/>
          <w:szCs w:val="24"/>
        </w:rPr>
        <w:t>Red = High Risk (&gt;40)</w:t>
      </w:r>
    </w:p>
    <w:p w14:paraId="25424471" w14:textId="77777777" w:rsidR="009E63E1" w:rsidRPr="00043DFD" w:rsidRDefault="009E63E1" w:rsidP="009E63E1">
      <w:pPr>
        <w:rPr>
          <w:rFonts w:ascii="Times New Roman" w:hAnsi="Times New Roman" w:cs="Times New Roman"/>
          <w:sz w:val="24"/>
          <w:szCs w:val="24"/>
        </w:rPr>
      </w:pPr>
      <w:r w:rsidRPr="00043DFD">
        <w:rPr>
          <w:rFonts w:ascii="Times New Roman" w:hAnsi="Times New Roman" w:cs="Times New Roman"/>
          <w:sz w:val="24"/>
          <w:szCs w:val="24"/>
        </w:rPr>
        <w:t>This structure satisfies the requirement that the heat map reflect the scoring values in the risk calculation sheet and that the mapping clearly distinguish low, medium, and high risks. By using both Excel and Python to create the same structure, the analysis demonstrates consistency in manual and programmatic risk visualization.</w:t>
      </w:r>
    </w:p>
    <w:p w14:paraId="718D9588" w14:textId="77777777" w:rsidR="009E63E1" w:rsidRDefault="009E63E1"/>
    <w:sectPr w:rsidR="009E6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42635"/>
    <w:multiLevelType w:val="multilevel"/>
    <w:tmpl w:val="0FE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836FFF"/>
    <w:multiLevelType w:val="multilevel"/>
    <w:tmpl w:val="D48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489377">
    <w:abstractNumId w:val="1"/>
  </w:num>
  <w:num w:numId="2" w16cid:durableId="185521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E1"/>
    <w:rsid w:val="00043DFD"/>
    <w:rsid w:val="00071CED"/>
    <w:rsid w:val="004D470D"/>
    <w:rsid w:val="00715969"/>
    <w:rsid w:val="007F639D"/>
    <w:rsid w:val="009E63E1"/>
    <w:rsid w:val="00B9175B"/>
    <w:rsid w:val="00F5475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297B"/>
  <w15:chartTrackingRefBased/>
  <w15:docId w15:val="{44EEFC5D-7D05-489D-919E-DD198D062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3E1"/>
    <w:rPr>
      <w:rFonts w:eastAsiaTheme="majorEastAsia" w:cstheme="majorBidi"/>
      <w:color w:val="272727" w:themeColor="text1" w:themeTint="D8"/>
    </w:rPr>
  </w:style>
  <w:style w:type="paragraph" w:styleId="Title">
    <w:name w:val="Title"/>
    <w:basedOn w:val="Normal"/>
    <w:next w:val="Normal"/>
    <w:link w:val="TitleChar"/>
    <w:uiPriority w:val="10"/>
    <w:qFormat/>
    <w:rsid w:val="009E6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3E1"/>
    <w:pPr>
      <w:spacing w:before="160"/>
      <w:jc w:val="center"/>
    </w:pPr>
    <w:rPr>
      <w:i/>
      <w:iCs/>
      <w:color w:val="404040" w:themeColor="text1" w:themeTint="BF"/>
    </w:rPr>
  </w:style>
  <w:style w:type="character" w:customStyle="1" w:styleId="QuoteChar">
    <w:name w:val="Quote Char"/>
    <w:basedOn w:val="DefaultParagraphFont"/>
    <w:link w:val="Quote"/>
    <w:uiPriority w:val="29"/>
    <w:rsid w:val="009E63E1"/>
    <w:rPr>
      <w:i/>
      <w:iCs/>
      <w:color w:val="404040" w:themeColor="text1" w:themeTint="BF"/>
    </w:rPr>
  </w:style>
  <w:style w:type="paragraph" w:styleId="ListParagraph">
    <w:name w:val="List Paragraph"/>
    <w:basedOn w:val="Normal"/>
    <w:uiPriority w:val="34"/>
    <w:qFormat/>
    <w:rsid w:val="009E63E1"/>
    <w:pPr>
      <w:ind w:left="720"/>
      <w:contextualSpacing/>
    </w:pPr>
  </w:style>
  <w:style w:type="character" w:styleId="IntenseEmphasis">
    <w:name w:val="Intense Emphasis"/>
    <w:basedOn w:val="DefaultParagraphFont"/>
    <w:uiPriority w:val="21"/>
    <w:qFormat/>
    <w:rsid w:val="009E63E1"/>
    <w:rPr>
      <w:i/>
      <w:iCs/>
      <w:color w:val="2F5496" w:themeColor="accent1" w:themeShade="BF"/>
    </w:rPr>
  </w:style>
  <w:style w:type="paragraph" w:styleId="IntenseQuote">
    <w:name w:val="Intense Quote"/>
    <w:basedOn w:val="Normal"/>
    <w:next w:val="Normal"/>
    <w:link w:val="IntenseQuoteChar"/>
    <w:uiPriority w:val="30"/>
    <w:qFormat/>
    <w:rsid w:val="009E6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3E1"/>
    <w:rPr>
      <w:i/>
      <w:iCs/>
      <w:color w:val="2F5496" w:themeColor="accent1" w:themeShade="BF"/>
    </w:rPr>
  </w:style>
  <w:style w:type="character" w:styleId="IntenseReference">
    <w:name w:val="Intense Reference"/>
    <w:basedOn w:val="DefaultParagraphFont"/>
    <w:uiPriority w:val="32"/>
    <w:qFormat/>
    <w:rsid w:val="009E63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Adetoun Obaude</dc:creator>
  <cp:keywords/>
  <dc:description/>
  <cp:lastModifiedBy>Adetoun Obaude</cp:lastModifiedBy>
  <cp:revision>2</cp:revision>
  <dcterms:created xsi:type="dcterms:W3CDTF">2026-03-11T23:53:00Z</dcterms:created>
  <dcterms:modified xsi:type="dcterms:W3CDTF">2026-03-12T00:15:00Z</dcterms:modified>
</cp:coreProperties>
</file>