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2CCE" w14:textId="77777777" w:rsidR="00F52E35" w:rsidRDefault="00F52E35" w:rsidP="00B32F4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ADETOUN OBAUDE </w:t>
      </w:r>
    </w:p>
    <w:p w14:paraId="0261E911" w14:textId="77777777" w:rsidR="00F52E35" w:rsidRDefault="00F52E35" w:rsidP="00B32F45">
      <w:pPr>
        <w:rPr>
          <w:b/>
          <w:bCs/>
          <w:lang w:val="en-US"/>
        </w:rPr>
      </w:pPr>
      <w:r>
        <w:rPr>
          <w:b/>
          <w:bCs/>
          <w:lang w:val="en-US"/>
        </w:rPr>
        <w:t>002082685</w:t>
      </w:r>
    </w:p>
    <w:p w14:paraId="641E4910" w14:textId="77777777" w:rsidR="00F52E35" w:rsidRDefault="00F52E35" w:rsidP="00B32F45">
      <w:pPr>
        <w:rPr>
          <w:b/>
          <w:bCs/>
          <w:lang w:val="en-US"/>
        </w:rPr>
      </w:pPr>
      <w:r>
        <w:rPr>
          <w:b/>
          <w:bCs/>
          <w:lang w:val="en-US"/>
        </w:rPr>
        <w:t>ALY6130</w:t>
      </w:r>
    </w:p>
    <w:p w14:paraId="6FFB5B3F" w14:textId="77777777" w:rsidR="00F52E35" w:rsidRDefault="00F52E35" w:rsidP="00B32F45">
      <w:pPr>
        <w:rPr>
          <w:b/>
          <w:bCs/>
          <w:lang w:val="en-US"/>
        </w:rPr>
      </w:pPr>
      <w:r>
        <w:rPr>
          <w:b/>
          <w:bCs/>
          <w:lang w:val="en-US"/>
        </w:rPr>
        <w:t>RISK MANAGEMENT IN ANALYSIS</w:t>
      </w:r>
    </w:p>
    <w:p w14:paraId="58805534" w14:textId="62E2343A" w:rsidR="000128C5" w:rsidRDefault="000128C5" w:rsidP="00B32F45">
      <w:pPr>
        <w:rPr>
          <w:b/>
          <w:bCs/>
          <w:lang w:val="en-US"/>
        </w:rPr>
      </w:pPr>
      <w:r>
        <w:rPr>
          <w:b/>
          <w:bCs/>
          <w:lang w:val="en-US"/>
        </w:rPr>
        <w:t>MODULE 2 ASSSIGNMENT</w:t>
      </w:r>
    </w:p>
    <w:p w14:paraId="1BBA39AD" w14:textId="14D3EE71" w:rsidR="00B32F45" w:rsidRPr="00B32F45" w:rsidRDefault="000128C5" w:rsidP="00B32F45">
      <w:pPr>
        <w:rPr>
          <w:b/>
          <w:bCs/>
          <w:lang w:val="en-US"/>
        </w:rPr>
      </w:pPr>
      <w:r w:rsidRPr="00B32F45">
        <w:rPr>
          <w:b/>
          <w:bCs/>
          <w:lang w:val="en-US"/>
        </w:rPr>
        <w:t>RISK IDENTIFICATION – COMPETITIVE RISKS</w:t>
      </w:r>
    </w:p>
    <w:p w14:paraId="52435147" w14:textId="77777777" w:rsidR="00B32F45" w:rsidRPr="00B32F45" w:rsidRDefault="00B32F45" w:rsidP="00B32F45">
      <w:pPr>
        <w:rPr>
          <w:lang w:val="en-US"/>
        </w:rPr>
      </w:pPr>
      <w:r w:rsidRPr="00B32F45">
        <w:rPr>
          <w:lang w:val="en-US"/>
        </w:rPr>
        <w:t>Company: Manulife Financial</w:t>
      </w:r>
    </w:p>
    <w:p w14:paraId="7B91E9CE" w14:textId="77777777" w:rsidR="00B32F45" w:rsidRPr="00B32F45" w:rsidRDefault="00B32F45" w:rsidP="00B32F45">
      <w:pPr>
        <w:rPr>
          <w:lang w:val="en-US"/>
        </w:rPr>
      </w:pPr>
      <w:r w:rsidRPr="00B32F45">
        <w:rPr>
          <w:lang w:val="en-US"/>
        </w:rPr>
        <w:t>Industry: Insurance &amp; Financial Services</w:t>
      </w:r>
    </w:p>
    <w:p w14:paraId="06DAC1D9" w14:textId="27C37BF3" w:rsidR="00F54753" w:rsidRDefault="00B32F45" w:rsidP="00B32F45">
      <w:r w:rsidRPr="00B32F45">
        <w:rPr>
          <w:lang w:val="en-US"/>
        </w:rPr>
        <w:t>Focus: Competitive Risks based on SWOT Analysis</w:t>
      </w:r>
      <w:r w:rsidRPr="00B32F45">
        <w:rPr>
          <w:lang w:val="en-US"/>
        </w:rPr>
        <w:br/>
      </w:r>
    </w:p>
    <w:p w14:paraId="2154AB69" w14:textId="77777777" w:rsidR="00B32F45" w:rsidRPr="00B32F45" w:rsidRDefault="00B32F45" w:rsidP="00B32F45">
      <w:pPr>
        <w:rPr>
          <w:b/>
          <w:bCs/>
          <w:lang w:val="en-US"/>
        </w:rPr>
      </w:pPr>
      <w:r w:rsidRPr="00B32F45">
        <w:rPr>
          <w:b/>
          <w:bCs/>
          <w:lang w:val="en-US"/>
        </w:rPr>
        <w:t>Risk 3 – Positive (AI &amp; Asian Market Expansion Opportunity)</w:t>
      </w:r>
    </w:p>
    <w:p w14:paraId="4840B0F0" w14:textId="77777777" w:rsidR="00B32F45" w:rsidRPr="00B32F45" w:rsidRDefault="00B32F45" w:rsidP="00B32F45">
      <w:pPr>
        <w:rPr>
          <w:lang w:val="en-US"/>
        </w:rPr>
      </w:pPr>
      <w:r w:rsidRPr="00B32F45">
        <w:rPr>
          <w:lang w:val="en-US"/>
        </w:rPr>
        <w:t>Risk Statement: The opportunity to scale AI-enabled underwriting in high-growth Asian markets may result in accelerated premium growth, improved loss ratios and strengthened long term competitive advantage.</w:t>
      </w:r>
    </w:p>
    <w:p w14:paraId="74D0C033" w14:textId="77777777" w:rsidR="00B32F45" w:rsidRPr="00B32F45" w:rsidRDefault="00B32F45" w:rsidP="00B32F45">
      <w:pPr>
        <w:rPr>
          <w:lang w:val="en-US"/>
        </w:rPr>
      </w:pPr>
      <w:r w:rsidRPr="00B32F45">
        <w:rPr>
          <w:lang w:val="en-US"/>
        </w:rPr>
        <w:t xml:space="preserve">Impact Statement: </w:t>
      </w:r>
    </w:p>
    <w:p w14:paraId="076A5CA4" w14:textId="77777777" w:rsidR="00B32F45" w:rsidRPr="00B32F45" w:rsidRDefault="00B32F45" w:rsidP="00B32F45">
      <w:pPr>
        <w:rPr>
          <w:lang w:val="en-CA"/>
        </w:rPr>
      </w:pPr>
      <w:r w:rsidRPr="00B32F45">
        <w:rPr>
          <w:lang w:val="en-CA"/>
        </w:rPr>
        <w:t>If leveraged:</w:t>
      </w:r>
    </w:p>
    <w:p w14:paraId="1670B9A7" w14:textId="77777777" w:rsidR="00B32F45" w:rsidRPr="00B32F45" w:rsidRDefault="00B32F45" w:rsidP="00B32F45">
      <w:pPr>
        <w:numPr>
          <w:ilvl w:val="0"/>
          <w:numId w:val="1"/>
        </w:numPr>
        <w:rPr>
          <w:lang w:val="en-CA"/>
        </w:rPr>
      </w:pPr>
      <w:r w:rsidRPr="00B32F45">
        <w:rPr>
          <w:lang w:val="en-CA"/>
        </w:rPr>
        <w:t>Increased market share in Asia</w:t>
      </w:r>
    </w:p>
    <w:p w14:paraId="7D8EE660" w14:textId="77777777" w:rsidR="00B32F45" w:rsidRPr="00B32F45" w:rsidRDefault="00B32F45" w:rsidP="00B32F45">
      <w:pPr>
        <w:numPr>
          <w:ilvl w:val="0"/>
          <w:numId w:val="1"/>
        </w:numPr>
        <w:rPr>
          <w:lang w:val="en-CA"/>
        </w:rPr>
      </w:pPr>
      <w:r w:rsidRPr="00B32F45">
        <w:rPr>
          <w:lang w:val="en-CA"/>
        </w:rPr>
        <w:t>Improved underwriting accuracy</w:t>
      </w:r>
    </w:p>
    <w:p w14:paraId="6E28DF3E" w14:textId="77777777" w:rsidR="00B32F45" w:rsidRPr="00B32F45" w:rsidRDefault="00B32F45" w:rsidP="00B32F45">
      <w:pPr>
        <w:numPr>
          <w:ilvl w:val="0"/>
          <w:numId w:val="1"/>
        </w:numPr>
        <w:rPr>
          <w:lang w:val="en-CA"/>
        </w:rPr>
      </w:pPr>
      <w:r w:rsidRPr="00B32F45">
        <w:rPr>
          <w:lang w:val="en-CA"/>
        </w:rPr>
        <w:t>Lower claims ratio</w:t>
      </w:r>
    </w:p>
    <w:p w14:paraId="31093CCB" w14:textId="77777777" w:rsidR="00B32F45" w:rsidRPr="00B32F45" w:rsidRDefault="00B32F45" w:rsidP="00B32F45">
      <w:pPr>
        <w:numPr>
          <w:ilvl w:val="0"/>
          <w:numId w:val="1"/>
        </w:numPr>
        <w:rPr>
          <w:lang w:val="en-CA"/>
        </w:rPr>
      </w:pPr>
      <w:r w:rsidRPr="00B32F45">
        <w:rPr>
          <w:lang w:val="en-CA"/>
        </w:rPr>
        <w:t>Stronger long-term earnings stability</w:t>
      </w:r>
    </w:p>
    <w:p w14:paraId="4A6E078B" w14:textId="77777777" w:rsidR="00B32F45" w:rsidRPr="00B32F45" w:rsidRDefault="00B32F45" w:rsidP="00B32F45">
      <w:pPr>
        <w:rPr>
          <w:lang w:val="en-CA"/>
        </w:rPr>
      </w:pPr>
      <w:r w:rsidRPr="00B32F45">
        <w:rPr>
          <w:lang w:val="en-CA"/>
        </w:rPr>
        <w:t xml:space="preserve">Impact Type: </w:t>
      </w:r>
      <w:r w:rsidRPr="00B32F45">
        <w:rPr>
          <w:b/>
          <w:bCs/>
          <w:lang w:val="en-CA"/>
        </w:rPr>
        <w:t>Financial &amp; Strategic Opportunity</w:t>
      </w:r>
    </w:p>
    <w:p w14:paraId="7A244A7E" w14:textId="77777777" w:rsidR="00B32F45" w:rsidRPr="00B32F45" w:rsidRDefault="00B32F45" w:rsidP="00B32F45">
      <w:pPr>
        <w:rPr>
          <w:lang w:val="en-US"/>
        </w:rPr>
      </w:pPr>
    </w:p>
    <w:p w14:paraId="5D4AAC4C" w14:textId="77777777" w:rsidR="00B32F45" w:rsidRPr="00B32F45" w:rsidRDefault="00B32F45" w:rsidP="00B32F45">
      <w:pPr>
        <w:rPr>
          <w:lang w:val="en-US"/>
        </w:rPr>
      </w:pPr>
      <w:r w:rsidRPr="00B32F45">
        <w:rPr>
          <w:lang w:val="en-US"/>
        </w:rPr>
        <w:t>Problem Statement: Rapid digital adoption in Asian insurance markets presents a strategic window for Manulife to scale AI-based underwriting ahead of traditional competitors.</w:t>
      </w:r>
    </w:p>
    <w:p w14:paraId="14C0C870" w14:textId="77777777" w:rsidR="00B32F45" w:rsidRPr="00B32F45" w:rsidRDefault="00B32F45" w:rsidP="00B32F45">
      <w:pPr>
        <w:rPr>
          <w:lang w:val="en-CA"/>
        </w:rPr>
      </w:pPr>
      <w:r w:rsidRPr="00B32F45">
        <w:rPr>
          <w:lang w:val="en-US"/>
        </w:rPr>
        <w:t xml:space="preserve">Key Risk Indicator (KRI): </w:t>
      </w:r>
      <w:r w:rsidRPr="00B32F45">
        <w:rPr>
          <w:lang w:val="en-CA"/>
        </w:rPr>
        <w:t>Quarterly Digital Policy Penetration Rate in Target Asian Markets</w:t>
      </w:r>
    </w:p>
    <w:p w14:paraId="42D62896" w14:textId="77777777" w:rsidR="00B32F45" w:rsidRPr="00B32F45" w:rsidRDefault="00B32F45" w:rsidP="00B32F45">
      <w:pPr>
        <w:rPr>
          <w:lang w:val="en-CA"/>
        </w:rPr>
      </w:pPr>
      <w:r w:rsidRPr="00B32F45">
        <w:rPr>
          <w:lang w:val="en-CA"/>
        </w:rPr>
        <w:t>Predicts future revenue acceleration.</w:t>
      </w:r>
    </w:p>
    <w:p w14:paraId="2CDFC94D" w14:textId="77777777" w:rsidR="00B32F45" w:rsidRPr="00B32F45" w:rsidRDefault="00B32F45" w:rsidP="00B32F45">
      <w:pPr>
        <w:rPr>
          <w:b/>
          <w:bCs/>
          <w:lang w:val="en-CA"/>
        </w:rPr>
      </w:pPr>
      <w:r w:rsidRPr="00B32F45">
        <w:rPr>
          <w:lang w:val="en-US"/>
        </w:rPr>
        <w:br/>
      </w:r>
      <w:r w:rsidRPr="00B32F45">
        <w:rPr>
          <w:b/>
          <w:bCs/>
          <w:lang w:val="en-CA"/>
        </w:rPr>
        <w:t>Thresholds</w:t>
      </w:r>
    </w:p>
    <w:p w14:paraId="203A5B67" w14:textId="77777777" w:rsidR="00B32F45" w:rsidRPr="00B32F45" w:rsidRDefault="00B32F45" w:rsidP="00B32F45">
      <w:pPr>
        <w:rPr>
          <w:lang w:val="en-CA"/>
        </w:rPr>
      </w:pPr>
      <w:r w:rsidRPr="00B32F45">
        <w:rPr>
          <w:lang w:val="en-CA"/>
        </w:rPr>
        <w:t>Green: ≥ 8% quarterly penetration growth</w:t>
      </w:r>
      <w:r w:rsidRPr="00B32F45">
        <w:rPr>
          <w:lang w:val="en-CA"/>
        </w:rPr>
        <w:br/>
        <w:t>Amber: 4–7% growth</w:t>
      </w:r>
      <w:r w:rsidRPr="00B32F45">
        <w:rPr>
          <w:lang w:val="en-CA"/>
        </w:rPr>
        <w:br/>
        <w:t>Red: &lt;4% growth for two consecutive quarters</w:t>
      </w:r>
    </w:p>
    <w:p w14:paraId="79D13C61" w14:textId="77777777" w:rsidR="00B32F45" w:rsidRDefault="00B32F45" w:rsidP="00B32F45">
      <w:pPr>
        <w:rPr>
          <w:lang w:val="en-CA"/>
        </w:rPr>
      </w:pPr>
      <w:r w:rsidRPr="00B32F45">
        <w:rPr>
          <w:lang w:val="en-CA"/>
        </w:rPr>
        <w:t>Now it is forward-looking.</w:t>
      </w:r>
    </w:p>
    <w:p w14:paraId="4F7BFEB4" w14:textId="77777777" w:rsidR="000128C5" w:rsidRDefault="000128C5" w:rsidP="00B32F45">
      <w:pPr>
        <w:rPr>
          <w:lang w:val="en-CA"/>
        </w:rPr>
      </w:pPr>
    </w:p>
    <w:tbl>
      <w:tblPr>
        <w:tblW w:w="11483" w:type="dxa"/>
        <w:tblCellSpacing w:w="15" w:type="dxa"/>
        <w:tblInd w:w="-1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"/>
        <w:gridCol w:w="1392"/>
        <w:gridCol w:w="1900"/>
        <w:gridCol w:w="1292"/>
        <w:gridCol w:w="1402"/>
        <w:gridCol w:w="1315"/>
        <w:gridCol w:w="1012"/>
        <w:gridCol w:w="1014"/>
        <w:gridCol w:w="1696"/>
      </w:tblGrid>
      <w:tr w:rsidR="00F52E35" w14:paraId="3C23C208" w14:textId="77777777" w:rsidTr="00F52E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6B2088" w14:textId="77777777" w:rsidR="00F52E35" w:rsidRPr="00F52E35" w:rsidRDefault="00F52E35">
            <w:pPr>
              <w:rPr>
                <w:lang w:val="en-CA"/>
              </w:rPr>
            </w:pPr>
            <w:r w:rsidRPr="00F52E35">
              <w:rPr>
                <w:lang w:val="en-CA"/>
              </w:rPr>
              <w:lastRenderedPageBreak/>
              <w:t>Risk ID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CBC033" w14:textId="77777777" w:rsidR="00F52E35" w:rsidRPr="00F52E35" w:rsidRDefault="00F52E35">
            <w:pPr>
              <w:rPr>
                <w:lang w:val="en-CA"/>
              </w:rPr>
            </w:pPr>
            <w:r w:rsidRPr="00F52E35">
              <w:rPr>
                <w:lang w:val="en-CA"/>
              </w:rPr>
              <w:t>Risk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99203F" w14:textId="77777777" w:rsidR="00F52E35" w:rsidRPr="00F52E35" w:rsidRDefault="00F52E35">
            <w:pPr>
              <w:rPr>
                <w:lang w:val="en-CA"/>
              </w:rPr>
            </w:pPr>
            <w:r w:rsidRPr="00F52E35">
              <w:rPr>
                <w:lang w:val="en-CA"/>
              </w:rPr>
              <w:t>Risk Statement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76E1CF" w14:textId="77777777" w:rsidR="00F52E35" w:rsidRPr="00F52E35" w:rsidRDefault="00F52E35">
            <w:pPr>
              <w:rPr>
                <w:lang w:val="en-CA"/>
              </w:rPr>
            </w:pPr>
            <w:r w:rsidRPr="00F52E35">
              <w:rPr>
                <w:lang w:val="en-CA"/>
              </w:rPr>
              <w:t>Impact Type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C1A2A1" w14:textId="77777777" w:rsidR="00F52E35" w:rsidRPr="00F52E35" w:rsidRDefault="00F52E35">
            <w:pPr>
              <w:rPr>
                <w:lang w:val="en-CA"/>
              </w:rPr>
            </w:pPr>
            <w:r w:rsidRPr="00F52E35">
              <w:rPr>
                <w:lang w:val="en-CA"/>
              </w:rPr>
              <w:t>Problem Statement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88F1EC" w14:textId="77777777" w:rsidR="00F52E35" w:rsidRPr="00F52E35" w:rsidRDefault="00F52E35">
            <w:pPr>
              <w:rPr>
                <w:lang w:val="en-CA"/>
              </w:rPr>
            </w:pPr>
            <w:r w:rsidRPr="00F52E35">
              <w:rPr>
                <w:lang w:val="en-CA"/>
              </w:rPr>
              <w:t>KRI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B5D91B" w14:textId="77777777" w:rsidR="00F52E35" w:rsidRPr="00F52E35" w:rsidRDefault="00F52E35">
            <w:pPr>
              <w:rPr>
                <w:lang w:val="en-CA"/>
              </w:rPr>
            </w:pPr>
            <w:r w:rsidRPr="00F52E35">
              <w:rPr>
                <w:lang w:val="en-CA"/>
              </w:rPr>
              <w:t>Green Threshold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56A9A3" w14:textId="77777777" w:rsidR="00F52E35" w:rsidRPr="00F52E35" w:rsidRDefault="00F52E35">
            <w:pPr>
              <w:rPr>
                <w:lang w:val="en-CA"/>
              </w:rPr>
            </w:pPr>
            <w:r w:rsidRPr="00F52E35">
              <w:rPr>
                <w:lang w:val="en-CA"/>
              </w:rPr>
              <w:t>Amber Threshold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B6C155" w14:textId="77777777" w:rsidR="00F52E35" w:rsidRPr="00F52E35" w:rsidRDefault="00F52E35">
            <w:pPr>
              <w:rPr>
                <w:lang w:val="en-CA"/>
              </w:rPr>
            </w:pPr>
            <w:r w:rsidRPr="00F52E35">
              <w:rPr>
                <w:lang w:val="en-CA"/>
              </w:rPr>
              <w:t>Red Threshold</w:t>
            </w:r>
          </w:p>
        </w:tc>
      </w:tr>
      <w:tr w:rsidR="00F52E35" w14:paraId="138082FB" w14:textId="77777777" w:rsidTr="00F52E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E84A48" w14:textId="77777777" w:rsidR="00F52E35" w:rsidRDefault="00F52E35">
            <w:pPr>
              <w:rPr>
                <w:lang w:val="en-CA"/>
              </w:rPr>
            </w:pPr>
            <w:r>
              <w:rPr>
                <w:lang w:val="en-CA"/>
              </w:rPr>
              <w:t>R3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7692F6" w14:textId="77777777" w:rsidR="00F52E35" w:rsidRDefault="00F52E35">
            <w:pPr>
              <w:rPr>
                <w:lang w:val="en-CA"/>
              </w:rPr>
            </w:pPr>
            <w:r>
              <w:rPr>
                <w:lang w:val="en-CA"/>
              </w:rPr>
              <w:t>Positive – Strategic Growth Opportunity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F0AE79" w14:textId="77777777" w:rsidR="00F52E35" w:rsidRDefault="00F52E35">
            <w:pPr>
              <w:rPr>
                <w:lang w:val="en-CA"/>
              </w:rPr>
            </w:pPr>
            <w:r>
              <w:rPr>
                <w:lang w:val="en-CA"/>
              </w:rPr>
              <w:t>The opportunity to scale AI-enabled underwriting in high-growth Asian markets may result in accelerated premium growth, improved loss ratios, and strengthened long-term competitive advantage.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624042" w14:textId="77777777" w:rsidR="00F52E35" w:rsidRDefault="00F52E35">
            <w:pPr>
              <w:rPr>
                <w:lang w:val="en-CA"/>
              </w:rPr>
            </w:pPr>
            <w:r>
              <w:rPr>
                <w:lang w:val="en-CA"/>
              </w:rPr>
              <w:t>Financial + Strategic Opportunity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47F7D3" w14:textId="77777777" w:rsidR="00F52E35" w:rsidRDefault="00F52E35">
            <w:pPr>
              <w:rPr>
                <w:lang w:val="en-CA"/>
              </w:rPr>
            </w:pPr>
            <w:r>
              <w:rPr>
                <w:lang w:val="en-CA"/>
              </w:rPr>
              <w:t>Rapid digital adoption in Asian insurance markets presents a strategic window for Manulife to scale AI-based underwriting ahead of traditional competitors.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FB16F3" w14:textId="77777777" w:rsidR="00F52E35" w:rsidRDefault="00F52E35">
            <w:pPr>
              <w:rPr>
                <w:lang w:val="en-CA"/>
              </w:rPr>
            </w:pPr>
            <w:r>
              <w:rPr>
                <w:lang w:val="en-CA"/>
              </w:rPr>
              <w:t>Quarterly Digital Policy Penetration Growth in Target Asian Markets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AC0BB8" w14:textId="77777777" w:rsidR="00F52E35" w:rsidRPr="000128C5" w:rsidRDefault="00F52E35">
            <w:pPr>
              <w:rPr>
                <w:highlight w:val="green"/>
                <w:lang w:val="en-CA"/>
              </w:rPr>
            </w:pPr>
            <w:r w:rsidRPr="000128C5">
              <w:rPr>
                <w:highlight w:val="green"/>
                <w:lang w:val="en-CA"/>
              </w:rPr>
              <w:t>≥ 8% quarterly growth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4A6876" w14:textId="77777777" w:rsidR="00F52E35" w:rsidRDefault="00F52E35">
            <w:pPr>
              <w:rPr>
                <w:lang w:val="en-CA"/>
              </w:rPr>
            </w:pPr>
            <w:r w:rsidRPr="000128C5">
              <w:rPr>
                <w:highlight w:val="yellow"/>
                <w:lang w:val="en-CA"/>
              </w:rPr>
              <w:t>4–7% quarterly growth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964FCF" w14:textId="77777777" w:rsidR="00F52E35" w:rsidRDefault="00F52E35">
            <w:pPr>
              <w:rPr>
                <w:lang w:val="en-CA"/>
              </w:rPr>
            </w:pPr>
            <w:r w:rsidRPr="000128C5">
              <w:rPr>
                <w:highlight w:val="red"/>
                <w:lang w:val="en-CA"/>
              </w:rPr>
              <w:t>&lt; 4% growth for two consecutive quarters</w:t>
            </w:r>
          </w:p>
        </w:tc>
      </w:tr>
      <w:tr w:rsidR="00F52E35" w:rsidRPr="00F52E35" w14:paraId="63B45FF1" w14:textId="77777777" w:rsidTr="00F52E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A523EC" w14:textId="5A1A903F" w:rsidR="00F52E35" w:rsidRPr="00F52E35" w:rsidRDefault="00F52E35" w:rsidP="00F52E35">
            <w:pPr>
              <w:rPr>
                <w:lang w:val="en-CA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5FD9E5" w14:textId="351AA437" w:rsidR="00F52E35" w:rsidRPr="00F52E35" w:rsidRDefault="00F52E35" w:rsidP="00F52E35">
            <w:pPr>
              <w:rPr>
                <w:lang w:val="en-C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36F2C5" w14:textId="7362EC92" w:rsidR="00F52E35" w:rsidRPr="00F52E35" w:rsidRDefault="00F52E35" w:rsidP="00F52E35">
            <w:pPr>
              <w:rPr>
                <w:lang w:val="en-CA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0C3B78" w14:textId="02E0567F" w:rsidR="00F52E35" w:rsidRPr="00F52E35" w:rsidRDefault="00F52E35" w:rsidP="00F52E35">
            <w:pPr>
              <w:rPr>
                <w:lang w:val="en-CA"/>
              </w:rPr>
            </w:pP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524483" w14:textId="36234A26" w:rsidR="00F52E35" w:rsidRPr="00F52E35" w:rsidRDefault="00F52E35" w:rsidP="00F52E35">
            <w:pPr>
              <w:rPr>
                <w:lang w:val="en-C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1B07DE" w14:textId="251873E8" w:rsidR="00F52E35" w:rsidRPr="00F52E35" w:rsidRDefault="00F52E35" w:rsidP="00F52E35">
            <w:pPr>
              <w:rPr>
                <w:lang w:val="en-C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09A4EB" w14:textId="6FC2F406" w:rsidR="00F52E35" w:rsidRPr="00F52E35" w:rsidRDefault="00F52E35" w:rsidP="00F52E35">
            <w:pPr>
              <w:rPr>
                <w:lang w:val="en-C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08A56F" w14:textId="7B9DCCB3" w:rsidR="00F52E35" w:rsidRPr="00F52E35" w:rsidRDefault="00F52E35" w:rsidP="00F52E35">
            <w:pPr>
              <w:rPr>
                <w:lang w:val="en-CA"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BF79E8" w14:textId="6AF60800" w:rsidR="00F52E35" w:rsidRPr="00F52E35" w:rsidRDefault="00F52E35" w:rsidP="00F52E35">
            <w:pPr>
              <w:rPr>
                <w:lang w:val="en-CA"/>
              </w:rPr>
            </w:pPr>
          </w:p>
        </w:tc>
      </w:tr>
    </w:tbl>
    <w:p w14:paraId="2FF3707F" w14:textId="77777777" w:rsidR="00B32F45" w:rsidRDefault="00B32F45" w:rsidP="00B32F45"/>
    <w:sectPr w:rsidR="00B32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02CB5"/>
    <w:multiLevelType w:val="multilevel"/>
    <w:tmpl w:val="CBD6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6452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45"/>
    <w:rsid w:val="000128C5"/>
    <w:rsid w:val="004D470D"/>
    <w:rsid w:val="00707749"/>
    <w:rsid w:val="00715969"/>
    <w:rsid w:val="00B32F45"/>
    <w:rsid w:val="00B9175B"/>
    <w:rsid w:val="00F52E35"/>
    <w:rsid w:val="00F5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8C76B"/>
  <w15:chartTrackingRefBased/>
  <w15:docId w15:val="{E9902CF6-0AED-4EC6-8954-96BCFABAA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F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F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F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F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F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Adetoun Obaude</dc:creator>
  <cp:keywords/>
  <dc:description/>
  <cp:lastModifiedBy>Adetoun Obaude</cp:lastModifiedBy>
  <cp:revision>1</cp:revision>
  <dcterms:created xsi:type="dcterms:W3CDTF">2026-03-05T01:23:00Z</dcterms:created>
  <dcterms:modified xsi:type="dcterms:W3CDTF">2026-03-05T01:49:00Z</dcterms:modified>
</cp:coreProperties>
</file>