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73E2" w14:textId="47C298B9" w:rsidR="006E533D" w:rsidRPr="001E1D86" w:rsidRDefault="006E533D" w:rsidP="006E533D">
      <w:pPr>
        <w:pStyle w:val="Heading1"/>
        <w:rPr>
          <w:rFonts w:asciiTheme="minorHAnsi" w:hAnsiTheme="minorHAnsi" w:cstheme="minorHAnsi"/>
          <w:color w:val="auto"/>
        </w:rPr>
      </w:pPr>
      <w:r w:rsidRPr="001E1D86">
        <w:rPr>
          <w:rFonts w:asciiTheme="minorHAnsi" w:hAnsiTheme="minorHAnsi" w:cstheme="minorHAnsi"/>
          <w:color w:val="auto"/>
        </w:rPr>
        <w:t>Risk Identification – Competitive Risks</w:t>
      </w:r>
    </w:p>
    <w:p w14:paraId="41069964" w14:textId="77777777" w:rsidR="006E533D" w:rsidRPr="001E1D86" w:rsidRDefault="006E533D" w:rsidP="006E533D">
      <w:pPr>
        <w:rPr>
          <w:rFonts w:cstheme="minorHAnsi"/>
        </w:rPr>
      </w:pPr>
      <w:r w:rsidRPr="001E1D86">
        <w:rPr>
          <w:rFonts w:cstheme="minorHAnsi"/>
        </w:rPr>
        <w:t>Company: Manulife Financial</w:t>
      </w:r>
    </w:p>
    <w:p w14:paraId="35376792" w14:textId="77777777" w:rsidR="006E533D" w:rsidRPr="001E1D86" w:rsidRDefault="006E533D" w:rsidP="006E533D">
      <w:pPr>
        <w:rPr>
          <w:rFonts w:cstheme="minorHAnsi"/>
        </w:rPr>
      </w:pPr>
      <w:r w:rsidRPr="001E1D86">
        <w:rPr>
          <w:rFonts w:cstheme="minorHAnsi"/>
        </w:rPr>
        <w:t>Industry: Insurance &amp; Financial Services</w:t>
      </w:r>
    </w:p>
    <w:p w14:paraId="4659E12F" w14:textId="298D2881" w:rsidR="00F54753" w:rsidRPr="001E1D86" w:rsidRDefault="006E533D" w:rsidP="006E533D">
      <w:pPr>
        <w:rPr>
          <w:rFonts w:cstheme="minorHAnsi"/>
        </w:rPr>
      </w:pPr>
      <w:r w:rsidRPr="001E1D86">
        <w:rPr>
          <w:rFonts w:cstheme="minorHAnsi"/>
        </w:rPr>
        <w:t>Focus: Competitive Risks based on SWOT Analysis</w:t>
      </w:r>
      <w:r w:rsidRPr="001E1D86">
        <w:rPr>
          <w:rFonts w:cstheme="minorHAnsi"/>
        </w:rPr>
        <w:br/>
      </w:r>
    </w:p>
    <w:p w14:paraId="6A2B6B4D" w14:textId="77777777" w:rsidR="006E533D" w:rsidRPr="001E1D86" w:rsidRDefault="006E533D" w:rsidP="006E533D">
      <w:pPr>
        <w:pStyle w:val="Heading2"/>
        <w:rPr>
          <w:rFonts w:asciiTheme="minorHAnsi" w:hAnsiTheme="minorHAnsi" w:cstheme="minorHAnsi"/>
          <w:color w:val="auto"/>
        </w:rPr>
      </w:pPr>
      <w:r w:rsidRPr="001E1D86">
        <w:rPr>
          <w:rFonts w:asciiTheme="minorHAnsi" w:hAnsiTheme="minorHAnsi" w:cstheme="minorHAnsi"/>
          <w:color w:val="auto"/>
        </w:rPr>
        <w:t>Risk 3 – Positive (AI &amp; Asian Market Expansion Opportunity)</w:t>
      </w:r>
    </w:p>
    <w:p w14:paraId="1EC059AB" w14:textId="77777777" w:rsidR="006E533D" w:rsidRPr="001E1D86" w:rsidRDefault="006E533D" w:rsidP="006E533D">
      <w:pPr>
        <w:rPr>
          <w:rFonts w:cstheme="minorHAnsi"/>
        </w:rPr>
      </w:pPr>
      <w:r w:rsidRPr="001E1D86">
        <w:rPr>
          <w:rFonts w:cstheme="minorHAnsi"/>
        </w:rPr>
        <w:t>Risk Statement: The opportunity of accelerated revenue growth caused by AI-driven underwriting and expansion in high-growth Asian markets resulting in increased market share and profitability.</w:t>
      </w:r>
    </w:p>
    <w:p w14:paraId="543CAFCA" w14:textId="77777777" w:rsidR="006E533D" w:rsidRPr="001E1D86" w:rsidRDefault="006E533D" w:rsidP="006E533D">
      <w:pPr>
        <w:rPr>
          <w:rFonts w:cstheme="minorHAnsi"/>
        </w:rPr>
      </w:pPr>
      <w:r w:rsidRPr="001E1D86">
        <w:rPr>
          <w:rFonts w:cstheme="minorHAnsi"/>
        </w:rPr>
        <w:t>Impact Statement: If successfully leveraged, this opportunity could improve underwriting accuracy, reduce operational costs, and increase revenue contribution from Asia beyond 42%.</w:t>
      </w:r>
    </w:p>
    <w:p w14:paraId="3730BAD7" w14:textId="77777777" w:rsidR="006E533D" w:rsidRPr="001E1D86" w:rsidRDefault="006E533D" w:rsidP="006E533D">
      <w:pPr>
        <w:rPr>
          <w:rFonts w:cstheme="minorHAnsi"/>
        </w:rPr>
      </w:pPr>
      <w:r w:rsidRPr="001E1D86">
        <w:rPr>
          <w:rFonts w:cstheme="minorHAnsi"/>
        </w:rPr>
        <w:t>Problem Statement: Rapid growth in Asian digital insurance demand creates opportunity; monitoring adoption and revenue contribution is necessary to capture competitive advantage.</w:t>
      </w:r>
    </w:p>
    <w:p w14:paraId="637C9781" w14:textId="77777777" w:rsidR="006E533D" w:rsidRPr="00B6424D" w:rsidRDefault="006E533D" w:rsidP="006E533D">
      <w:pPr>
        <w:rPr>
          <w:rFonts w:ascii="Times New Roman" w:hAnsi="Times New Roman" w:cs="Times New Roman"/>
        </w:rPr>
      </w:pPr>
      <w:r w:rsidRPr="001E1D86">
        <w:rPr>
          <w:rFonts w:cstheme="minorHAnsi"/>
        </w:rPr>
        <w:t>Key Risk Indicator (KRI): Asia Revenue Contribution (%)</w:t>
      </w:r>
      <w:r w:rsidRPr="001E1D86">
        <w:rPr>
          <w:rFonts w:cstheme="minorHAnsi"/>
        </w:rPr>
        <w:br/>
        <w:t>Green: Above 42%</w:t>
      </w:r>
      <w:r w:rsidRPr="001E1D86">
        <w:rPr>
          <w:rFonts w:cstheme="minorHAnsi"/>
        </w:rPr>
        <w:br/>
        <w:t>Amber: 38%–42%</w:t>
      </w:r>
      <w:r w:rsidRPr="001E1D86">
        <w:rPr>
          <w:rFonts w:cstheme="minorHAnsi"/>
        </w:rPr>
        <w:br/>
        <w:t>Red: Below 38%</w:t>
      </w:r>
      <w:r w:rsidRPr="001E1D86">
        <w:rPr>
          <w:rFonts w:cstheme="minorHAnsi"/>
        </w:rPr>
        <w:br/>
      </w:r>
    </w:p>
    <w:p w14:paraId="145DB668" w14:textId="5B77E356" w:rsidR="006E533D" w:rsidRDefault="00010483" w:rsidP="006E533D">
      <w:r w:rsidRPr="002B7E22">
        <w:rPr>
          <w:noProof/>
        </w:rPr>
        <w:drawing>
          <wp:inline distT="0" distB="0" distL="0" distR="0" wp14:anchorId="2159355B" wp14:editId="7660B919">
            <wp:extent cx="5397500" cy="2288314"/>
            <wp:effectExtent l="0" t="0" r="0" b="0"/>
            <wp:docPr id="18162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52" cy="229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3D"/>
    <w:rsid w:val="00010483"/>
    <w:rsid w:val="001B4B8B"/>
    <w:rsid w:val="001D1828"/>
    <w:rsid w:val="001E1D86"/>
    <w:rsid w:val="004D470D"/>
    <w:rsid w:val="006E533D"/>
    <w:rsid w:val="00707749"/>
    <w:rsid w:val="00715969"/>
    <w:rsid w:val="00B6424D"/>
    <w:rsid w:val="00B9175B"/>
    <w:rsid w:val="00BD1815"/>
    <w:rsid w:val="00DF0B87"/>
    <w:rsid w:val="00F5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DC37"/>
  <w15:chartTrackingRefBased/>
  <w15:docId w15:val="{2D1EFCDD-2877-4ECB-B1BC-2E3B0670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3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Adetoun Obaude</dc:creator>
  <cp:keywords/>
  <dc:description/>
  <cp:lastModifiedBy>Adetoun Obaude</cp:lastModifiedBy>
  <cp:revision>2</cp:revision>
  <dcterms:created xsi:type="dcterms:W3CDTF">2026-03-04T01:17:00Z</dcterms:created>
  <dcterms:modified xsi:type="dcterms:W3CDTF">2026-03-04T01:17:00Z</dcterms:modified>
</cp:coreProperties>
</file>