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6C08" w14:textId="77777777" w:rsidR="00D07D24" w:rsidRPr="00404531" w:rsidRDefault="00D07D24" w:rsidP="00D07D2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14:ligatures w14:val="none"/>
        </w:rPr>
      </w:pPr>
      <w:r w:rsidRPr="00404531">
        <w:rPr>
          <w:rFonts w:ascii="Times New Roman" w:eastAsia="Times New Roman" w:hAnsi="Times New Roman" w:cs="Times New Roman"/>
          <w:b/>
          <w:bCs/>
          <w:kern w:val="36"/>
          <w:sz w:val="48"/>
          <w:szCs w:val="48"/>
          <w:lang w:eastAsia="en-CA"/>
          <w14:ligatures w14:val="none"/>
        </w:rPr>
        <w:t>Northeastern University</w:t>
      </w:r>
      <w:r w:rsidRPr="00404531">
        <w:rPr>
          <w:rFonts w:ascii="Times New Roman" w:eastAsia="Times New Roman" w:hAnsi="Times New Roman" w:cs="Times New Roman"/>
          <w:b/>
          <w:bCs/>
          <w:kern w:val="36"/>
          <w:sz w:val="48"/>
          <w:szCs w:val="48"/>
          <w:lang w:eastAsia="en-CA"/>
          <w14:ligatures w14:val="none"/>
        </w:rPr>
        <w:br/>
      </w:r>
      <w:r w:rsidRPr="00404531">
        <w:rPr>
          <w:rFonts w:ascii="Times New Roman" w:eastAsia="Times New Roman" w:hAnsi="Times New Roman" w:cs="Times New Roman"/>
          <w:b/>
          <w:bCs/>
          <w:kern w:val="36"/>
          <w:sz w:val="48"/>
          <w:szCs w:val="48"/>
          <w:lang w:eastAsia="en-CA"/>
          <w14:ligatures w14:val="none"/>
        </w:rPr>
        <w:br/>
        <w:t>Risk Management for Analytics</w:t>
      </w:r>
      <w:r w:rsidRPr="00404531">
        <w:rPr>
          <w:rFonts w:ascii="Times New Roman" w:eastAsia="Times New Roman" w:hAnsi="Times New Roman" w:cs="Times New Roman"/>
          <w:b/>
          <w:bCs/>
          <w:kern w:val="36"/>
          <w:sz w:val="48"/>
          <w:szCs w:val="48"/>
          <w:lang w:eastAsia="en-CA"/>
          <w14:ligatures w14:val="none"/>
        </w:rPr>
        <w:br/>
      </w:r>
      <w:r w:rsidRPr="00404531">
        <w:rPr>
          <w:rFonts w:ascii="Times New Roman" w:eastAsia="Times New Roman" w:hAnsi="Times New Roman" w:cs="Times New Roman"/>
          <w:b/>
          <w:bCs/>
          <w:kern w:val="36"/>
          <w:sz w:val="48"/>
          <w:szCs w:val="48"/>
          <w:lang w:eastAsia="en-CA"/>
          <w14:ligatures w14:val="none"/>
        </w:rPr>
        <w:br/>
        <w:t>ALY6130</w:t>
      </w:r>
    </w:p>
    <w:p w14:paraId="33EF66CB" w14:textId="77777777" w:rsidR="00D07D24" w:rsidRPr="00404531" w:rsidRDefault="00D07D24" w:rsidP="00D07D2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14:ligatures w14:val="none"/>
        </w:rPr>
      </w:pPr>
      <w:r w:rsidRPr="00404531">
        <w:rPr>
          <w:rFonts w:ascii="Times New Roman" w:eastAsia="Times New Roman" w:hAnsi="Times New Roman" w:cs="Times New Roman"/>
          <w:b/>
          <w:bCs/>
          <w:kern w:val="36"/>
          <w:sz w:val="48"/>
          <w:szCs w:val="48"/>
          <w:lang w:eastAsia="en-CA"/>
          <w14:ligatures w14:val="none"/>
        </w:rPr>
        <w:t>Abeba Nigussie Turi</w:t>
      </w:r>
    </w:p>
    <w:p w14:paraId="02474534" w14:textId="77777777" w:rsidR="00D07D24" w:rsidRPr="00404531" w:rsidRDefault="00D07D24" w:rsidP="00D07D2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14:ligatures w14:val="none"/>
        </w:rPr>
      </w:pPr>
    </w:p>
    <w:p w14:paraId="03368C00" w14:textId="77777777" w:rsidR="00D07D24" w:rsidRPr="00404531" w:rsidRDefault="00D07D24" w:rsidP="00D07D2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14:ligatures w14:val="none"/>
        </w:rPr>
      </w:pPr>
    </w:p>
    <w:p w14:paraId="5EA580A4" w14:textId="77777777" w:rsidR="00D07D24" w:rsidRPr="00404531" w:rsidRDefault="00D07D24" w:rsidP="00D07D2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14:ligatures w14:val="none"/>
        </w:rPr>
      </w:pPr>
      <w:r w:rsidRPr="00404531">
        <w:rPr>
          <w:rFonts w:ascii="Times New Roman" w:eastAsia="Times New Roman" w:hAnsi="Times New Roman" w:cs="Times New Roman"/>
          <w:b/>
          <w:bCs/>
          <w:kern w:val="36"/>
          <w:sz w:val="48"/>
          <w:szCs w:val="48"/>
          <w:lang w:eastAsia="en-CA"/>
          <w14:ligatures w14:val="none"/>
        </w:rPr>
        <w:t>Group 3</w:t>
      </w:r>
    </w:p>
    <w:p w14:paraId="0E44FD9A" w14:textId="77777777" w:rsidR="00D07D24" w:rsidRPr="00404531" w:rsidRDefault="00D07D24" w:rsidP="00D07D2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14:ligatures w14:val="none"/>
        </w:rPr>
      </w:pPr>
    </w:p>
    <w:p w14:paraId="6CD9E5B6" w14:textId="77777777" w:rsidR="00D07D24" w:rsidRDefault="00D07D24" w:rsidP="00D07D24">
      <w:pPr>
        <w:jc w:val="center"/>
        <w:rPr>
          <w:rFonts w:ascii="Times New Roman" w:eastAsia="Times New Roman" w:hAnsi="Times New Roman" w:cs="Times New Roman"/>
          <w:b/>
          <w:bCs/>
          <w:kern w:val="36"/>
          <w:sz w:val="48"/>
          <w:szCs w:val="48"/>
          <w:lang w:eastAsia="en-CA"/>
          <w14:ligatures w14:val="none"/>
        </w:rPr>
      </w:pPr>
      <w:r w:rsidRPr="00404531">
        <w:rPr>
          <w:rFonts w:ascii="Times New Roman" w:eastAsia="Times New Roman" w:hAnsi="Times New Roman" w:cs="Times New Roman"/>
          <w:b/>
          <w:bCs/>
          <w:kern w:val="36"/>
          <w:sz w:val="48"/>
          <w:szCs w:val="48"/>
          <w:lang w:eastAsia="en-CA"/>
          <w14:ligatures w14:val="none"/>
        </w:rPr>
        <w:t>Module 4 Assignment</w:t>
      </w:r>
    </w:p>
    <w:p w14:paraId="213EEDD1" w14:textId="77777777" w:rsidR="00D07D24" w:rsidRDefault="00D07D24" w:rsidP="00D07D24">
      <w:pPr>
        <w:jc w:val="center"/>
        <w:rPr>
          <w:rFonts w:ascii="Times New Roman" w:eastAsia="Times New Roman" w:hAnsi="Times New Roman" w:cs="Times New Roman"/>
          <w:b/>
          <w:bCs/>
          <w:kern w:val="36"/>
          <w:sz w:val="48"/>
          <w:szCs w:val="48"/>
          <w:lang w:eastAsia="en-CA"/>
          <w14:ligatures w14:val="none"/>
        </w:rPr>
      </w:pPr>
    </w:p>
    <w:p w14:paraId="4C2F7ED7" w14:textId="56EE84D3" w:rsidR="00D07D24" w:rsidRDefault="00D07D24" w:rsidP="00D07D24">
      <w:pPr>
        <w:jc w:val="center"/>
        <w:rPr>
          <w:rFonts w:ascii="Times New Roman" w:eastAsia="Times New Roman" w:hAnsi="Times New Roman" w:cs="Times New Roman"/>
          <w:b/>
          <w:bCs/>
          <w:kern w:val="36"/>
          <w:sz w:val="48"/>
          <w:szCs w:val="48"/>
          <w:lang w:eastAsia="en-CA"/>
          <w14:ligatures w14:val="none"/>
        </w:rPr>
      </w:pPr>
      <w:r w:rsidRPr="00404531">
        <w:rPr>
          <w:rFonts w:ascii="Times New Roman" w:eastAsia="Times New Roman" w:hAnsi="Times New Roman" w:cs="Times New Roman"/>
          <w:b/>
          <w:bCs/>
          <w:kern w:val="36"/>
          <w:sz w:val="48"/>
          <w:szCs w:val="48"/>
          <w:lang w:eastAsia="en-CA"/>
          <w14:ligatures w14:val="none"/>
        </w:rPr>
        <w:br/>
        <w:t>Adetoun Obau</w:t>
      </w:r>
      <w:r>
        <w:rPr>
          <w:rFonts w:ascii="Times New Roman" w:eastAsia="Times New Roman" w:hAnsi="Times New Roman" w:cs="Times New Roman"/>
          <w:b/>
          <w:bCs/>
          <w:kern w:val="36"/>
          <w:sz w:val="48"/>
          <w:szCs w:val="48"/>
          <w:lang w:eastAsia="en-CA"/>
          <w14:ligatures w14:val="none"/>
        </w:rPr>
        <w:t>d</w:t>
      </w:r>
      <w:r w:rsidRPr="00404531">
        <w:rPr>
          <w:rFonts w:ascii="Times New Roman" w:eastAsia="Times New Roman" w:hAnsi="Times New Roman" w:cs="Times New Roman"/>
          <w:b/>
          <w:bCs/>
          <w:kern w:val="36"/>
          <w:sz w:val="48"/>
          <w:szCs w:val="48"/>
          <w:lang w:eastAsia="en-CA"/>
          <w14:ligatures w14:val="none"/>
        </w:rPr>
        <w:t xml:space="preserve">e </w:t>
      </w:r>
    </w:p>
    <w:p w14:paraId="699186C7" w14:textId="77777777" w:rsidR="00D07D24" w:rsidRDefault="00D07D24" w:rsidP="00D07D24">
      <w:pPr>
        <w:jc w:val="center"/>
        <w:rPr>
          <w:rFonts w:ascii="Times New Roman" w:eastAsia="Times New Roman" w:hAnsi="Times New Roman" w:cs="Times New Roman"/>
          <w:b/>
          <w:bCs/>
          <w:kern w:val="36"/>
          <w:sz w:val="48"/>
          <w:szCs w:val="48"/>
          <w:lang w:eastAsia="en-CA"/>
          <w14:ligatures w14:val="none"/>
        </w:rPr>
      </w:pPr>
    </w:p>
    <w:p w14:paraId="34A7B21C" w14:textId="6C747EC0" w:rsidR="00D07D24" w:rsidRPr="00D07D24" w:rsidRDefault="00D07D24" w:rsidP="00D07D24">
      <w:pPr>
        <w:jc w:val="center"/>
        <w:rPr>
          <w:rFonts w:ascii="Times New Roman" w:eastAsia="Times New Roman" w:hAnsi="Times New Roman" w:cs="Times New Roman"/>
          <w:b/>
          <w:bCs/>
          <w:kern w:val="36"/>
          <w:sz w:val="48"/>
          <w:szCs w:val="48"/>
          <w:lang w:eastAsia="en-CA"/>
          <w14:ligatures w14:val="none"/>
        </w:rPr>
      </w:pPr>
      <w:r w:rsidRPr="00D07D24">
        <w:rPr>
          <w:rFonts w:ascii="Times New Roman" w:hAnsi="Times New Roman" w:cs="Times New Roman"/>
          <w:b/>
          <w:bCs/>
          <w:sz w:val="48"/>
          <w:szCs w:val="48"/>
        </w:rPr>
        <w:t>Quantitative Risk Analytics Methods</w:t>
      </w:r>
    </w:p>
    <w:p w14:paraId="755DAE27" w14:textId="7962C054" w:rsidR="009B60D5" w:rsidRPr="00D07D24" w:rsidRDefault="00D07D24" w:rsidP="00D07D24">
      <w:pPr>
        <w:jc w:val="center"/>
        <w:rPr>
          <w:rFonts w:ascii="Times New Roman" w:hAnsi="Times New Roman" w:cs="Times New Roman"/>
        </w:rPr>
      </w:pPr>
      <w:r w:rsidRPr="00404531">
        <w:rPr>
          <w:rFonts w:ascii="Times New Roman" w:eastAsia="Times New Roman" w:hAnsi="Times New Roman" w:cs="Times New Roman"/>
          <w:b/>
          <w:bCs/>
          <w:kern w:val="36"/>
          <w:sz w:val="48"/>
          <w:szCs w:val="48"/>
          <w:lang w:eastAsia="en-CA"/>
          <w14:ligatures w14:val="none"/>
        </w:rPr>
        <w:br/>
      </w:r>
    </w:p>
    <w:p w14:paraId="5E6ECB30" w14:textId="77777777" w:rsidR="009B60D5" w:rsidRDefault="009B60D5" w:rsidP="009B60D5">
      <w:pPr>
        <w:rPr>
          <w:rFonts w:ascii="Times New Roman" w:hAnsi="Times New Roman" w:cs="Times New Roman"/>
          <w:b/>
          <w:bCs/>
        </w:rPr>
      </w:pPr>
    </w:p>
    <w:p w14:paraId="511FF47D" w14:textId="77777777" w:rsidR="009B60D5" w:rsidRDefault="009B60D5" w:rsidP="009B60D5">
      <w:pPr>
        <w:rPr>
          <w:rFonts w:ascii="Times New Roman" w:hAnsi="Times New Roman" w:cs="Times New Roman"/>
          <w:b/>
          <w:bCs/>
        </w:rPr>
      </w:pPr>
    </w:p>
    <w:p w14:paraId="7DE1DBA6" w14:textId="77777777" w:rsidR="009B60D5" w:rsidRDefault="009B60D5" w:rsidP="009B60D5">
      <w:pPr>
        <w:rPr>
          <w:rFonts w:ascii="Times New Roman" w:hAnsi="Times New Roman" w:cs="Times New Roman"/>
          <w:b/>
          <w:bCs/>
        </w:rPr>
      </w:pPr>
    </w:p>
    <w:p w14:paraId="25F8C0E6" w14:textId="0EEC787B" w:rsidR="009B60D5" w:rsidRPr="00404531" w:rsidRDefault="009B60D5" w:rsidP="009B60D5">
      <w:pPr>
        <w:rPr>
          <w:rFonts w:ascii="Times New Roman" w:hAnsi="Times New Roman" w:cs="Times New Roman"/>
          <w:b/>
          <w:bCs/>
        </w:rPr>
      </w:pPr>
      <w:r w:rsidRPr="00404531">
        <w:rPr>
          <w:rFonts w:ascii="Times New Roman" w:hAnsi="Times New Roman" w:cs="Times New Roman"/>
          <w:b/>
          <w:bCs/>
        </w:rPr>
        <w:t>Quantitative Risk Assessment Using Indicators and Warning (I&amp;W) Analysis</w:t>
      </w:r>
    </w:p>
    <w:p w14:paraId="530CF585" w14:textId="77777777" w:rsidR="009B60D5" w:rsidRPr="00404531" w:rsidRDefault="009B60D5" w:rsidP="009B60D5">
      <w:pPr>
        <w:rPr>
          <w:rFonts w:ascii="Times New Roman" w:hAnsi="Times New Roman" w:cs="Times New Roman"/>
          <w:b/>
          <w:bCs/>
        </w:rPr>
      </w:pPr>
      <w:r w:rsidRPr="00404531">
        <w:rPr>
          <w:rFonts w:ascii="Times New Roman" w:hAnsi="Times New Roman" w:cs="Times New Roman"/>
          <w:b/>
          <w:bCs/>
        </w:rPr>
        <w:t>Introduction</w:t>
      </w:r>
    </w:p>
    <w:p w14:paraId="3333D179" w14:textId="77777777" w:rsidR="009B60D5" w:rsidRPr="00404531" w:rsidRDefault="009B60D5" w:rsidP="009B60D5">
      <w:pPr>
        <w:rPr>
          <w:rFonts w:ascii="Times New Roman" w:hAnsi="Times New Roman" w:cs="Times New Roman"/>
        </w:rPr>
      </w:pPr>
      <w:r w:rsidRPr="00404531">
        <w:rPr>
          <w:rFonts w:ascii="Times New Roman" w:hAnsi="Times New Roman" w:cs="Times New Roman"/>
        </w:rPr>
        <w:t xml:space="preserve">The previous risk assessment identified and prioritized key risks affecting Manulife Financial using a likelihood impact scoring model and a risk heat map. The analysis showed that several risks fall within the </w:t>
      </w:r>
      <w:proofErr w:type="gramStart"/>
      <w:r w:rsidRPr="00404531">
        <w:rPr>
          <w:rFonts w:ascii="Times New Roman" w:hAnsi="Times New Roman" w:cs="Times New Roman"/>
        </w:rPr>
        <w:t>high risk</w:t>
      </w:r>
      <w:proofErr w:type="gramEnd"/>
      <w:r w:rsidRPr="00404531">
        <w:rPr>
          <w:rFonts w:ascii="Times New Roman" w:hAnsi="Times New Roman" w:cs="Times New Roman"/>
        </w:rPr>
        <w:t xml:space="preserve"> category, particularly those associated with fintech competition, enterprise disruption, technology failures, and regulatory exposure. These risks were prioritized because they combine high likelihood with high potential impact on operational performance and financial stability. </w:t>
      </w:r>
    </w:p>
    <w:p w14:paraId="65F7E6D9" w14:textId="77777777" w:rsidR="009B60D5" w:rsidRPr="00404531" w:rsidRDefault="009B60D5" w:rsidP="009B60D5">
      <w:pPr>
        <w:rPr>
          <w:rFonts w:ascii="Times New Roman" w:hAnsi="Times New Roman" w:cs="Times New Roman"/>
        </w:rPr>
      </w:pPr>
      <w:r w:rsidRPr="00404531">
        <w:rPr>
          <w:rFonts w:ascii="Times New Roman" w:hAnsi="Times New Roman" w:cs="Times New Roman"/>
        </w:rPr>
        <w:t xml:space="preserve">While the heat map provided an effective visualization of risk severity, deeper quantitative analysis is necessary to understand how these risks may evolve over time and how early warning signals can be detected. To extend the previous work, this assessment applies the </w:t>
      </w:r>
      <w:r w:rsidRPr="00404531">
        <w:rPr>
          <w:rFonts w:ascii="Times New Roman" w:hAnsi="Times New Roman" w:cs="Times New Roman"/>
          <w:b/>
          <w:bCs/>
        </w:rPr>
        <w:t>Indicators and Warning (I&amp;W) analysis technique</w:t>
      </w:r>
      <w:r w:rsidRPr="00404531">
        <w:rPr>
          <w:rFonts w:ascii="Times New Roman" w:hAnsi="Times New Roman" w:cs="Times New Roman"/>
        </w:rPr>
        <w:t xml:space="preserve"> to three high-priority risks identified in the original risk register:</w:t>
      </w:r>
    </w:p>
    <w:p w14:paraId="725FEF24" w14:textId="77777777" w:rsidR="009B60D5" w:rsidRPr="00404531" w:rsidRDefault="009B60D5" w:rsidP="009B60D5">
      <w:pPr>
        <w:numPr>
          <w:ilvl w:val="0"/>
          <w:numId w:val="1"/>
        </w:numPr>
        <w:rPr>
          <w:rFonts w:ascii="Times New Roman" w:hAnsi="Times New Roman" w:cs="Times New Roman"/>
        </w:rPr>
      </w:pPr>
      <w:r w:rsidRPr="00404531">
        <w:rPr>
          <w:rFonts w:ascii="Times New Roman" w:hAnsi="Times New Roman" w:cs="Times New Roman"/>
        </w:rPr>
        <w:t xml:space="preserve">Fintech and </w:t>
      </w:r>
      <w:proofErr w:type="spellStart"/>
      <w:r w:rsidRPr="00404531">
        <w:rPr>
          <w:rFonts w:ascii="Times New Roman" w:hAnsi="Times New Roman" w:cs="Times New Roman"/>
        </w:rPr>
        <w:t>insurtech</w:t>
      </w:r>
      <w:proofErr w:type="spellEnd"/>
      <w:r w:rsidRPr="00404531">
        <w:rPr>
          <w:rFonts w:ascii="Times New Roman" w:hAnsi="Times New Roman" w:cs="Times New Roman"/>
        </w:rPr>
        <w:t xml:space="preserve"> competition (Strategic risk)</w:t>
      </w:r>
    </w:p>
    <w:p w14:paraId="65662FE3" w14:textId="77777777" w:rsidR="009B60D5" w:rsidRPr="00404531" w:rsidRDefault="009B60D5" w:rsidP="009B60D5">
      <w:pPr>
        <w:numPr>
          <w:ilvl w:val="0"/>
          <w:numId w:val="1"/>
        </w:numPr>
        <w:rPr>
          <w:rFonts w:ascii="Times New Roman" w:hAnsi="Times New Roman" w:cs="Times New Roman"/>
        </w:rPr>
      </w:pPr>
      <w:r w:rsidRPr="00404531">
        <w:rPr>
          <w:rFonts w:ascii="Times New Roman" w:hAnsi="Times New Roman" w:cs="Times New Roman"/>
        </w:rPr>
        <w:t>Major technology failure (Technology risk)</w:t>
      </w:r>
    </w:p>
    <w:p w14:paraId="1C480264" w14:textId="77777777" w:rsidR="009B60D5" w:rsidRPr="00404531" w:rsidRDefault="009B60D5" w:rsidP="009B60D5">
      <w:pPr>
        <w:numPr>
          <w:ilvl w:val="0"/>
          <w:numId w:val="1"/>
        </w:numPr>
        <w:rPr>
          <w:rFonts w:ascii="Times New Roman" w:hAnsi="Times New Roman" w:cs="Times New Roman"/>
        </w:rPr>
      </w:pPr>
      <w:r w:rsidRPr="00404531">
        <w:rPr>
          <w:rFonts w:ascii="Times New Roman" w:hAnsi="Times New Roman" w:cs="Times New Roman"/>
        </w:rPr>
        <w:t>Cybersecurity vulnerabilities (Technology risk)</w:t>
      </w:r>
    </w:p>
    <w:p w14:paraId="11907186" w14:textId="77777777" w:rsidR="009B60D5" w:rsidRDefault="009B60D5" w:rsidP="009B60D5">
      <w:pPr>
        <w:rPr>
          <w:rFonts w:ascii="Times New Roman" w:hAnsi="Times New Roman" w:cs="Times New Roman"/>
        </w:rPr>
      </w:pPr>
      <w:r w:rsidRPr="00404531">
        <w:rPr>
          <w:rFonts w:ascii="Times New Roman" w:hAnsi="Times New Roman" w:cs="Times New Roman"/>
        </w:rPr>
        <w:t>The I&amp;W technique allows organizations to monitor measurable indicators that signal when a risk is increasing in likelihood or impact. By tracking these indicators quantitatively, organizations can identify emerging threats early and take proactive mitigation actions before the risks escalate.</w:t>
      </w:r>
    </w:p>
    <w:p w14:paraId="683C74AC" w14:textId="77777777" w:rsidR="00D07D24" w:rsidRPr="00404531" w:rsidRDefault="00D07D24" w:rsidP="00D07D24">
      <w:pPr>
        <w:rPr>
          <w:rFonts w:ascii="Times New Roman" w:hAnsi="Times New Roman" w:cs="Times New Roman"/>
          <w:b/>
          <w:bCs/>
        </w:rPr>
      </w:pPr>
      <w:r w:rsidRPr="00404531">
        <w:rPr>
          <w:rFonts w:ascii="Times New Roman" w:hAnsi="Times New Roman" w:cs="Times New Roman"/>
          <w:b/>
          <w:bCs/>
        </w:rPr>
        <w:t>Quantitative Risk Analytics Methods</w:t>
      </w:r>
    </w:p>
    <w:p w14:paraId="7254CBF7" w14:textId="77777777" w:rsidR="00D07D24" w:rsidRPr="00404531" w:rsidRDefault="00D07D24" w:rsidP="00D07D24">
      <w:pPr>
        <w:rPr>
          <w:rFonts w:ascii="Times New Roman" w:hAnsi="Times New Roman" w:cs="Times New Roman"/>
          <w:b/>
          <w:bCs/>
        </w:rPr>
      </w:pPr>
      <w:r w:rsidRPr="00404531">
        <w:rPr>
          <w:rFonts w:ascii="Times New Roman" w:hAnsi="Times New Roman" w:cs="Times New Roman"/>
          <w:b/>
          <w:bCs/>
        </w:rPr>
        <w:t>Indicators and Warning (I&amp;W) Technique</w:t>
      </w:r>
    </w:p>
    <w:p w14:paraId="3A21A8A2"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 xml:space="preserve">Indicators and Warning (I&amp;W) analysis is a structured monitoring approach used in risk analytics to identify </w:t>
      </w:r>
      <w:r w:rsidRPr="00404531">
        <w:rPr>
          <w:rFonts w:ascii="Times New Roman" w:hAnsi="Times New Roman" w:cs="Times New Roman"/>
          <w:b/>
          <w:bCs/>
        </w:rPr>
        <w:t>leading indicators that signal rising risk exposure</w:t>
      </w:r>
      <w:r w:rsidRPr="00404531">
        <w:rPr>
          <w:rFonts w:ascii="Times New Roman" w:hAnsi="Times New Roman" w:cs="Times New Roman"/>
        </w:rPr>
        <w:t>. Each risk was associated with measurable indicators that can be monitored continuously.</w:t>
      </w:r>
    </w:p>
    <w:p w14:paraId="384F29E4"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Examples of indicators include:</w:t>
      </w:r>
    </w:p>
    <w:p w14:paraId="5006DDE7" w14:textId="77777777" w:rsidR="00D07D24" w:rsidRPr="00404531" w:rsidRDefault="00D07D24" w:rsidP="00D07D24">
      <w:pPr>
        <w:numPr>
          <w:ilvl w:val="0"/>
          <w:numId w:val="2"/>
        </w:numPr>
        <w:rPr>
          <w:rFonts w:ascii="Times New Roman" w:hAnsi="Times New Roman" w:cs="Times New Roman"/>
        </w:rPr>
      </w:pPr>
      <w:r w:rsidRPr="00404531">
        <w:rPr>
          <w:rFonts w:ascii="Times New Roman" w:hAnsi="Times New Roman" w:cs="Times New Roman"/>
        </w:rPr>
        <w:t>Market share changes caused by fintech competitors</w:t>
      </w:r>
    </w:p>
    <w:p w14:paraId="327BCB19" w14:textId="77777777" w:rsidR="00D07D24" w:rsidRPr="00404531" w:rsidRDefault="00D07D24" w:rsidP="00D07D24">
      <w:pPr>
        <w:numPr>
          <w:ilvl w:val="0"/>
          <w:numId w:val="2"/>
        </w:numPr>
        <w:rPr>
          <w:rFonts w:ascii="Times New Roman" w:hAnsi="Times New Roman" w:cs="Times New Roman"/>
        </w:rPr>
      </w:pPr>
      <w:r w:rsidRPr="00404531">
        <w:rPr>
          <w:rFonts w:ascii="Times New Roman" w:hAnsi="Times New Roman" w:cs="Times New Roman"/>
        </w:rPr>
        <w:t>System downtime and IT incident frequency</w:t>
      </w:r>
    </w:p>
    <w:p w14:paraId="522B524D" w14:textId="77777777" w:rsidR="00D07D24" w:rsidRPr="00404531" w:rsidRDefault="00D07D24" w:rsidP="00D07D24">
      <w:pPr>
        <w:numPr>
          <w:ilvl w:val="0"/>
          <w:numId w:val="2"/>
        </w:numPr>
        <w:rPr>
          <w:rFonts w:ascii="Times New Roman" w:hAnsi="Times New Roman" w:cs="Times New Roman"/>
        </w:rPr>
      </w:pPr>
      <w:r w:rsidRPr="00404531">
        <w:rPr>
          <w:rFonts w:ascii="Times New Roman" w:hAnsi="Times New Roman" w:cs="Times New Roman"/>
        </w:rPr>
        <w:t>Cybersecurity breach attempts</w:t>
      </w:r>
    </w:p>
    <w:p w14:paraId="6301341B" w14:textId="77777777" w:rsidR="00D07D24" w:rsidRPr="00404531" w:rsidRDefault="00D07D24" w:rsidP="00D07D24">
      <w:pPr>
        <w:numPr>
          <w:ilvl w:val="0"/>
          <w:numId w:val="2"/>
        </w:numPr>
        <w:rPr>
          <w:rFonts w:ascii="Times New Roman" w:hAnsi="Times New Roman" w:cs="Times New Roman"/>
        </w:rPr>
      </w:pPr>
      <w:r w:rsidRPr="00404531">
        <w:rPr>
          <w:rFonts w:ascii="Times New Roman" w:hAnsi="Times New Roman" w:cs="Times New Roman"/>
        </w:rPr>
        <w:t>Customer digital engagement metrics</w:t>
      </w:r>
    </w:p>
    <w:p w14:paraId="4038CB5F" w14:textId="77777777" w:rsidR="00D07D24" w:rsidRPr="00404531" w:rsidRDefault="00D07D24" w:rsidP="00D07D24">
      <w:pPr>
        <w:numPr>
          <w:ilvl w:val="0"/>
          <w:numId w:val="2"/>
        </w:numPr>
        <w:rPr>
          <w:rFonts w:ascii="Times New Roman" w:hAnsi="Times New Roman" w:cs="Times New Roman"/>
        </w:rPr>
      </w:pPr>
      <w:r w:rsidRPr="00404531">
        <w:rPr>
          <w:rFonts w:ascii="Times New Roman" w:hAnsi="Times New Roman" w:cs="Times New Roman"/>
        </w:rPr>
        <w:t>Regulatory change frequency</w:t>
      </w:r>
    </w:p>
    <w:p w14:paraId="5DDED400"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Threshold values were defined for each indicator so that management can determine when a risk moves from normal monitoring to an active mitigation stage.</w:t>
      </w:r>
    </w:p>
    <w:p w14:paraId="4877F1B2" w14:textId="77777777" w:rsidR="00D07D24" w:rsidRPr="00404531" w:rsidRDefault="00D07D24" w:rsidP="00D07D24">
      <w:pPr>
        <w:rPr>
          <w:rFonts w:ascii="Times New Roman" w:hAnsi="Times New Roman" w:cs="Times New Roman"/>
        </w:rPr>
      </w:pPr>
    </w:p>
    <w:p w14:paraId="3C801082" w14:textId="77777777" w:rsidR="00D07D24" w:rsidRPr="00404531" w:rsidRDefault="00D07D24" w:rsidP="00D07D24">
      <w:pPr>
        <w:rPr>
          <w:rFonts w:ascii="Times New Roman" w:hAnsi="Times New Roman" w:cs="Times New Roman"/>
          <w:b/>
          <w:bCs/>
        </w:rPr>
      </w:pPr>
      <w:r w:rsidRPr="00404531">
        <w:rPr>
          <w:rFonts w:ascii="Times New Roman" w:hAnsi="Times New Roman" w:cs="Times New Roman"/>
          <w:b/>
          <w:bCs/>
        </w:rPr>
        <w:t>Probability–Impact Quantitative Model</w:t>
      </w:r>
    </w:p>
    <w:p w14:paraId="180612B6"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The earlier heat map analysis calculated risk severity using the formula:</w:t>
      </w:r>
    </w:p>
    <w:p w14:paraId="3C088E88" w14:textId="77777777" w:rsidR="00D07D24" w:rsidRPr="00404531" w:rsidRDefault="00D07D24" w:rsidP="00D07D24">
      <w:pPr>
        <w:rPr>
          <w:rFonts w:ascii="Times New Roman" w:hAnsi="Times New Roman" w:cs="Times New Roman"/>
        </w:rPr>
      </w:pPr>
      <w:r w:rsidRPr="00404531">
        <w:rPr>
          <w:rFonts w:ascii="Times New Roman" w:hAnsi="Times New Roman" w:cs="Times New Roman"/>
          <w:b/>
          <w:bCs/>
        </w:rPr>
        <w:t>Risk Score = Likelihood × Impact</w:t>
      </w:r>
    </w:p>
    <w:p w14:paraId="2F50DD03"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 xml:space="preserve">Likelihood values ranged from </w:t>
      </w:r>
      <w:r w:rsidRPr="00404531">
        <w:rPr>
          <w:rFonts w:ascii="Times New Roman" w:hAnsi="Times New Roman" w:cs="Times New Roman"/>
          <w:b/>
          <w:bCs/>
        </w:rPr>
        <w:t>1 to 9</w:t>
      </w:r>
      <w:r w:rsidRPr="00404531">
        <w:rPr>
          <w:rFonts w:ascii="Times New Roman" w:hAnsi="Times New Roman" w:cs="Times New Roman"/>
        </w:rPr>
        <w:t xml:space="preserve">, while impact values ranged from </w:t>
      </w:r>
      <w:r w:rsidRPr="00404531">
        <w:rPr>
          <w:rFonts w:ascii="Times New Roman" w:hAnsi="Times New Roman" w:cs="Times New Roman"/>
          <w:b/>
          <w:bCs/>
        </w:rPr>
        <w:t>1 to 9</w:t>
      </w:r>
      <w:r w:rsidRPr="00404531">
        <w:rPr>
          <w:rFonts w:ascii="Times New Roman" w:hAnsi="Times New Roman" w:cs="Times New Roman"/>
        </w:rPr>
        <w:t xml:space="preserve">, producing a maximum possible score of </w:t>
      </w:r>
      <w:r w:rsidRPr="00404531">
        <w:rPr>
          <w:rFonts w:ascii="Times New Roman" w:hAnsi="Times New Roman" w:cs="Times New Roman"/>
          <w:b/>
          <w:bCs/>
        </w:rPr>
        <w:t>81</w:t>
      </w:r>
      <w:r w:rsidRPr="00404531">
        <w:rPr>
          <w:rFonts w:ascii="Times New Roman" w:hAnsi="Times New Roman" w:cs="Times New Roman"/>
        </w:rPr>
        <w:t xml:space="preserve">. This approach enabled consistent comparison across multiple risk categories and helped identify the most critical exposures requiring management attention. </w:t>
      </w:r>
    </w:p>
    <w:p w14:paraId="4C3B7B41"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Using this framework, several risks such as fintech competition, enterprise disruption, regulatory failure, and technology failure were classified as high-priority risks.</w:t>
      </w:r>
    </w:p>
    <w:p w14:paraId="20F44B2D" w14:textId="77777777" w:rsidR="00D07D24" w:rsidRPr="00404531" w:rsidRDefault="00D07D24" w:rsidP="00D07D24">
      <w:pPr>
        <w:rPr>
          <w:rFonts w:ascii="Times New Roman" w:hAnsi="Times New Roman" w:cs="Times New Roman"/>
        </w:rPr>
      </w:pPr>
    </w:p>
    <w:p w14:paraId="56F4B9AA" w14:textId="77777777" w:rsidR="00D07D24" w:rsidRPr="00404531" w:rsidRDefault="00D07D24" w:rsidP="00D07D24">
      <w:pPr>
        <w:rPr>
          <w:rFonts w:ascii="Times New Roman" w:hAnsi="Times New Roman" w:cs="Times New Roman"/>
          <w:b/>
          <w:bCs/>
        </w:rPr>
      </w:pPr>
      <w:r w:rsidRPr="00404531">
        <w:rPr>
          <w:rFonts w:ascii="Times New Roman" w:hAnsi="Times New Roman" w:cs="Times New Roman"/>
          <w:b/>
          <w:bCs/>
        </w:rPr>
        <w:t>Monte Carlo Risk Simulation</w:t>
      </w:r>
    </w:p>
    <w:p w14:paraId="05839111"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 xml:space="preserve">To further strengthen the quantitative analysis, </w:t>
      </w:r>
      <w:r w:rsidRPr="00404531">
        <w:rPr>
          <w:rFonts w:ascii="Times New Roman" w:hAnsi="Times New Roman" w:cs="Times New Roman"/>
          <w:b/>
          <w:bCs/>
        </w:rPr>
        <w:t>Monte Carlo simulation</w:t>
      </w:r>
      <w:r w:rsidRPr="00404531">
        <w:rPr>
          <w:rFonts w:ascii="Times New Roman" w:hAnsi="Times New Roman" w:cs="Times New Roman"/>
        </w:rPr>
        <w:t xml:space="preserve"> can be used to model potential risk outcomes. Monte Carlo simulation runs thousands of potential scenarios using probability distributions to estimate possible financial losses, operational disruptions, or customer churn.</w:t>
      </w:r>
    </w:p>
    <w:p w14:paraId="2360F8A4"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This modeling approach provides decision-makers with insights into:</w:t>
      </w:r>
    </w:p>
    <w:p w14:paraId="5A2F7FA5" w14:textId="77777777" w:rsidR="00D07D24" w:rsidRPr="00404531" w:rsidRDefault="00D07D24" w:rsidP="00D07D24">
      <w:pPr>
        <w:numPr>
          <w:ilvl w:val="0"/>
          <w:numId w:val="3"/>
        </w:numPr>
        <w:rPr>
          <w:rFonts w:ascii="Times New Roman" w:hAnsi="Times New Roman" w:cs="Times New Roman"/>
        </w:rPr>
      </w:pPr>
      <w:r w:rsidRPr="00404531">
        <w:rPr>
          <w:rFonts w:ascii="Times New Roman" w:hAnsi="Times New Roman" w:cs="Times New Roman"/>
        </w:rPr>
        <w:t>Expected loss ranges</w:t>
      </w:r>
    </w:p>
    <w:p w14:paraId="6B40D580" w14:textId="77777777" w:rsidR="00D07D24" w:rsidRPr="00404531" w:rsidRDefault="00D07D24" w:rsidP="00D07D24">
      <w:pPr>
        <w:numPr>
          <w:ilvl w:val="0"/>
          <w:numId w:val="3"/>
        </w:numPr>
        <w:rPr>
          <w:rFonts w:ascii="Times New Roman" w:hAnsi="Times New Roman" w:cs="Times New Roman"/>
        </w:rPr>
      </w:pPr>
      <w:r w:rsidRPr="00404531">
        <w:rPr>
          <w:rFonts w:ascii="Times New Roman" w:hAnsi="Times New Roman" w:cs="Times New Roman"/>
        </w:rPr>
        <w:t>Worst-case scenarios</w:t>
      </w:r>
    </w:p>
    <w:p w14:paraId="314B734E" w14:textId="77777777" w:rsidR="00D07D24" w:rsidRPr="00404531" w:rsidRDefault="00D07D24" w:rsidP="00D07D24">
      <w:pPr>
        <w:numPr>
          <w:ilvl w:val="0"/>
          <w:numId w:val="3"/>
        </w:numPr>
        <w:rPr>
          <w:rFonts w:ascii="Times New Roman" w:hAnsi="Times New Roman" w:cs="Times New Roman"/>
        </w:rPr>
      </w:pPr>
      <w:r w:rsidRPr="00404531">
        <w:rPr>
          <w:rFonts w:ascii="Times New Roman" w:hAnsi="Times New Roman" w:cs="Times New Roman"/>
        </w:rPr>
        <w:t>Probability distribution of risk outcomes</w:t>
      </w:r>
    </w:p>
    <w:p w14:paraId="36934F14" w14:textId="77777777" w:rsidR="00D07D24" w:rsidRPr="00404531" w:rsidRDefault="00D07D24" w:rsidP="00D07D24">
      <w:pPr>
        <w:rPr>
          <w:rFonts w:ascii="Times New Roman" w:hAnsi="Times New Roman" w:cs="Times New Roman"/>
        </w:rPr>
      </w:pPr>
      <w:r w:rsidRPr="00404531">
        <w:rPr>
          <w:rFonts w:ascii="Times New Roman" w:hAnsi="Times New Roman" w:cs="Times New Roman"/>
        </w:rPr>
        <w:t>In financial services organizations such as Manulife, Monte Carlo modeling is particularly valuable because it helps quantify uncertainty and improve risk forecasting.</w:t>
      </w:r>
    </w:p>
    <w:p w14:paraId="16FFA3D2" w14:textId="77777777" w:rsidR="00D07D24" w:rsidRPr="00404531" w:rsidRDefault="00D07D24" w:rsidP="009B60D5">
      <w:pPr>
        <w:rPr>
          <w:rFonts w:ascii="Times New Roman" w:hAnsi="Times New Roman" w:cs="Times New Roman"/>
        </w:rPr>
      </w:pPr>
    </w:p>
    <w:p w14:paraId="6D5FE82F" w14:textId="77777777" w:rsidR="009B60D5" w:rsidRPr="00404531" w:rsidRDefault="009B60D5" w:rsidP="009B60D5">
      <w:pPr>
        <w:rPr>
          <w:rFonts w:ascii="Times New Roman" w:hAnsi="Times New Roman" w:cs="Times New Roman"/>
        </w:rPr>
      </w:pPr>
    </w:p>
    <w:p w14:paraId="39BDFA61" w14:textId="77777777" w:rsidR="00F54753" w:rsidRDefault="00F54753"/>
    <w:sectPr w:rsidR="00F54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E07D6"/>
    <w:multiLevelType w:val="multilevel"/>
    <w:tmpl w:val="B300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0941F9"/>
    <w:multiLevelType w:val="multilevel"/>
    <w:tmpl w:val="4CE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948B0"/>
    <w:multiLevelType w:val="multilevel"/>
    <w:tmpl w:val="771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217330">
    <w:abstractNumId w:val="0"/>
  </w:num>
  <w:num w:numId="2" w16cid:durableId="217980338">
    <w:abstractNumId w:val="1"/>
  </w:num>
  <w:num w:numId="3" w16cid:durableId="1615289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0D5"/>
    <w:rsid w:val="004D470D"/>
    <w:rsid w:val="00715969"/>
    <w:rsid w:val="009B60D5"/>
    <w:rsid w:val="009F256F"/>
    <w:rsid w:val="00B9175B"/>
    <w:rsid w:val="00D07D24"/>
    <w:rsid w:val="00F5475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8F0E"/>
  <w15:chartTrackingRefBased/>
  <w15:docId w15:val="{44009E3F-6D10-420E-8914-39216711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0D5"/>
    <w:pPr>
      <w:spacing w:line="278" w:lineRule="auto"/>
    </w:pPr>
    <w:rPr>
      <w:sz w:val="24"/>
      <w:szCs w:val="24"/>
      <w:lang w:val="en-CA"/>
    </w:rPr>
  </w:style>
  <w:style w:type="paragraph" w:styleId="Heading1">
    <w:name w:val="heading 1"/>
    <w:basedOn w:val="Normal"/>
    <w:next w:val="Normal"/>
    <w:link w:val="Heading1Char"/>
    <w:uiPriority w:val="9"/>
    <w:qFormat/>
    <w:rsid w:val="009B6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0D5"/>
    <w:rPr>
      <w:rFonts w:eastAsiaTheme="majorEastAsia" w:cstheme="majorBidi"/>
      <w:color w:val="272727" w:themeColor="text1" w:themeTint="D8"/>
    </w:rPr>
  </w:style>
  <w:style w:type="paragraph" w:styleId="Title">
    <w:name w:val="Title"/>
    <w:basedOn w:val="Normal"/>
    <w:next w:val="Normal"/>
    <w:link w:val="TitleChar"/>
    <w:uiPriority w:val="10"/>
    <w:qFormat/>
    <w:rsid w:val="009B6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0D5"/>
    <w:pPr>
      <w:spacing w:before="160"/>
      <w:jc w:val="center"/>
    </w:pPr>
    <w:rPr>
      <w:i/>
      <w:iCs/>
      <w:color w:val="404040" w:themeColor="text1" w:themeTint="BF"/>
    </w:rPr>
  </w:style>
  <w:style w:type="character" w:customStyle="1" w:styleId="QuoteChar">
    <w:name w:val="Quote Char"/>
    <w:basedOn w:val="DefaultParagraphFont"/>
    <w:link w:val="Quote"/>
    <w:uiPriority w:val="29"/>
    <w:rsid w:val="009B60D5"/>
    <w:rPr>
      <w:i/>
      <w:iCs/>
      <w:color w:val="404040" w:themeColor="text1" w:themeTint="BF"/>
    </w:rPr>
  </w:style>
  <w:style w:type="paragraph" w:styleId="ListParagraph">
    <w:name w:val="List Paragraph"/>
    <w:basedOn w:val="Normal"/>
    <w:uiPriority w:val="34"/>
    <w:qFormat/>
    <w:rsid w:val="009B60D5"/>
    <w:pPr>
      <w:ind w:left="720"/>
      <w:contextualSpacing/>
    </w:pPr>
  </w:style>
  <w:style w:type="character" w:styleId="IntenseEmphasis">
    <w:name w:val="Intense Emphasis"/>
    <w:basedOn w:val="DefaultParagraphFont"/>
    <w:uiPriority w:val="21"/>
    <w:qFormat/>
    <w:rsid w:val="009B60D5"/>
    <w:rPr>
      <w:i/>
      <w:iCs/>
      <w:color w:val="2F5496" w:themeColor="accent1" w:themeShade="BF"/>
    </w:rPr>
  </w:style>
  <w:style w:type="paragraph" w:styleId="IntenseQuote">
    <w:name w:val="Intense Quote"/>
    <w:basedOn w:val="Normal"/>
    <w:next w:val="Normal"/>
    <w:link w:val="IntenseQuoteChar"/>
    <w:uiPriority w:val="30"/>
    <w:qFormat/>
    <w:rsid w:val="009B6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0D5"/>
    <w:rPr>
      <w:i/>
      <w:iCs/>
      <w:color w:val="2F5496" w:themeColor="accent1" w:themeShade="BF"/>
    </w:rPr>
  </w:style>
  <w:style w:type="character" w:styleId="IntenseReference">
    <w:name w:val="Intense Reference"/>
    <w:basedOn w:val="DefaultParagraphFont"/>
    <w:uiPriority w:val="32"/>
    <w:qFormat/>
    <w:rsid w:val="009B60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Adetoun Obaude</dc:creator>
  <cp:keywords/>
  <dc:description/>
  <cp:lastModifiedBy>Adetoun Obaude</cp:lastModifiedBy>
  <cp:revision>1</cp:revision>
  <dcterms:created xsi:type="dcterms:W3CDTF">2026-03-19T00:36:00Z</dcterms:created>
  <dcterms:modified xsi:type="dcterms:W3CDTF">2026-03-19T00:56:00Z</dcterms:modified>
</cp:coreProperties>
</file>