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Founder Letter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Narrative memo for early investors and hires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Opening</w:t>
      </w:r>
    </w:p>
    <w:p>
      <w:pPr>
        <w:pStyle w:val="ListBullet"/>
      </w:pPr>
      <w:r>
        <w:t>High-context service teams do important work, then lose hours turning that work into client-ready language.</w:t>
      </w:r>
    </w:p>
    <w:p>
      <w:pPr>
        <w:pStyle w:val="Heading1"/>
      </w:pPr>
      <w:r>
        <w:t>Belief</w:t>
      </w:r>
    </w:p>
    <w:p>
      <w:pPr>
        <w:pStyle w:val="ListBullet"/>
      </w:pPr>
      <w:r>
        <w:t>The winning product is not a note-taker; it is a deliverable workspace grounded in evidence.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