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20252B"/>
          <w:sz w:val="48"/>
        </w:rPr>
        <w:t>Hiring Plan</w:t>
      </w:r>
    </w:p>
    <w:p>
      <w:pPr>
        <w:spacing w:after="240"/>
      </w:pPr>
      <w:r>
        <w:rPr>
          <w:rFonts w:ascii="Aptos" w:hAnsi="Aptos"/>
          <w:color w:val="5D7FA3"/>
          <w:sz w:val="21"/>
        </w:rPr>
        <w:t>Seed hiring sequence</w:t>
      </w:r>
    </w:p>
    <w:p>
      <w:pPr>
        <w:spacing w:before="160" w:after="280"/>
        <w:ind w:left="259" w:right="259"/>
      </w:pPr>
      <w:r>
        <w:rPr>
          <w:b/>
          <w:color w:val="1DB56C"/>
        </w:rPr>
        <w:t xml:space="preserve">Capture the work. Ship the report.  </w:t>
      </w:r>
      <w:r>
        <w:rPr>
          <w:sz w:val="20"/>
        </w:rPr>
        <w:t>Tracepad.ai helps high-context service teams capture what happened, structure it quickly, and ship professional deliverables without rebuilding the story by hand.</w:t>
      </w:r>
    </w:p>
    <w:p>
      <w:pPr>
        <w:pStyle w:val="Heading1"/>
      </w:pPr>
      <w:r>
        <w:t>First hires</w:t>
      </w:r>
    </w:p>
    <w:p>
      <w:pPr>
        <w:pStyle w:val="ListBullet"/>
      </w:pPr>
      <w:r>
        <w:t>Founding engineer, part-time product designer, customer success/operator contractor.</w:t>
      </w:r>
    </w:p>
    <w:p>
      <w:pPr>
        <w:pStyle w:val="Heading1"/>
      </w:pPr>
      <w:r>
        <w:t>Why</w:t>
      </w:r>
    </w:p>
    <w:p>
      <w:pPr>
        <w:pStyle w:val="ListBullet"/>
      </w:pPr>
      <w:r>
        <w:t>Engineering hardens product, design improves onboarding/review, success converts pilots.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025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5D7F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C88A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