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20252B"/>
          <w:sz w:val="48"/>
        </w:rPr>
        <w:t>Board And Investor Update Template</w:t>
      </w:r>
    </w:p>
    <w:p>
      <w:pPr>
        <w:spacing w:after="240"/>
      </w:pPr>
      <w:r>
        <w:rPr>
          <w:rFonts w:ascii="Aptos" w:hAnsi="Aptos"/>
          <w:color w:val="5D7FA3"/>
          <w:sz w:val="21"/>
        </w:rPr>
        <w:t>Monthly investor update format</w:t>
      </w:r>
    </w:p>
    <w:p>
      <w:pPr>
        <w:spacing w:before="160" w:after="280"/>
        <w:ind w:left="259" w:right="259"/>
      </w:pPr>
      <w:r>
        <w:rPr>
          <w:b/>
          <w:color w:val="1DB56C"/>
        </w:rPr>
        <w:t xml:space="preserve">Capture the work. Ship the report.  </w:t>
      </w:r>
      <w:r>
        <w:rPr>
          <w:sz w:val="20"/>
        </w:rPr>
        <w:t>Tracepad.ai helps high-context service teams capture what happened, structure it quickly, and ship professional deliverables without rebuilding the story by hand.</w:t>
      </w:r>
    </w:p>
    <w:p>
      <w:pPr>
        <w:pStyle w:val="Heading1"/>
      </w:pPr>
      <w:r>
        <w:t>Template</w:t>
      </w:r>
    </w:p>
    <w:p>
      <w:pPr>
        <w:pStyle w:val="ListBullet"/>
      </w:pPr>
      <w:r>
        <w:t>Highlights, metrics, customer learning, product shipped, asks, runway, next month priorities.</w:t>
      </w:r>
    </w:p>
    <w:p>
      <w:pPr>
        <w:pStyle w:val="Heading1"/>
      </w:pPr>
      <w:r>
        <w:t>Metrics</w:t>
      </w:r>
    </w:p>
    <w:p>
      <w:pPr>
        <w:pStyle w:val="ListBullet"/>
      </w:pPr>
      <w:r>
        <w:t>MRR, active seats, captured visits, generated drafts, finalized deliverables, pilot conversion.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025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5D7F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C88A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