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Go-To-Market Plan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Focused wedge into consultants, agencies, and field teams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Wedge</w:t>
      </w:r>
    </w:p>
    <w:p>
      <w:pPr>
        <w:pStyle w:val="ListBullet"/>
      </w:pPr>
      <w:r>
        <w:t>Start with boutique consultants and field inspection teams who already write repetitive client reports.</w:t>
      </w:r>
    </w:p>
    <w:p>
      <w:pPr>
        <w:pStyle w:val="ListBullet"/>
      </w:pPr>
      <w:r>
        <w:t>Use done-for-you onboarding and pilot conversion instead of self-serve scale.</w:t>
      </w:r>
    </w:p>
    <w:p>
      <w:pPr>
        <w:pStyle w:val="Heading1"/>
      </w:pPr>
      <w:r>
        <w:t>Channels</w:t>
      </w:r>
    </w:p>
    <w:p>
      <w:pPr>
        <w:pStyle w:val="ListBullet"/>
      </w:pPr>
      <w:r>
        <w:t>Founder-led outbound to operators, referral loops through consultants, targeted demo webinars, and field-report teardown content.</w:t>
      </w:r>
    </w:p>
    <w:p>
      <w:pPr>
        <w:pStyle w:val="Heading1"/>
      </w:pPr>
      <w:r>
        <w:t>Metrics</w:t>
      </w:r>
    </w:p>
    <w:p>
      <w:pPr>
        <w:pStyle w:val="ListBullet"/>
      </w:pPr>
      <w:r>
        <w:t>Pilot-to-paid conversion, weekly captured visits, draft acceptance rate, and deliverable cycle time reduction.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