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0252B"/>
          <w:sz w:val="48"/>
        </w:rPr>
        <w:t>Sales One-Pager</w:t>
      </w:r>
    </w:p>
    <w:p>
      <w:pPr>
        <w:spacing w:after="240"/>
      </w:pPr>
      <w:r>
        <w:rPr>
          <w:rFonts w:ascii="Aptos" w:hAnsi="Aptos"/>
          <w:color w:val="5D7FA3"/>
          <w:sz w:val="21"/>
        </w:rPr>
        <w:t>Buyer-facing sales artifact</w:t>
      </w:r>
    </w:p>
    <w:p>
      <w:pPr>
        <w:spacing w:before="160" w:after="280"/>
        <w:ind w:left="259" w:right="259"/>
      </w:pPr>
      <w:r>
        <w:rPr>
          <w:b/>
          <w:color w:val="1DB56C"/>
        </w:rPr>
        <w:t xml:space="preserve">Capture the work. Ship the report.  </w:t>
      </w:r>
      <w:r>
        <w:rPr>
          <w:sz w:val="20"/>
        </w:rPr>
        <w:t>Tracepad.ai helps high-context service teams capture what happened, structure it quickly, and ship professional deliverables without rebuilding the story by hand.</w:t>
      </w:r>
    </w:p>
    <w:p>
      <w:pPr>
        <w:pStyle w:val="Heading1"/>
      </w:pPr>
      <w:r>
        <w:t>Promise</w:t>
      </w:r>
    </w:p>
    <w:p>
      <w:pPr>
        <w:pStyle w:val="ListBullet"/>
      </w:pPr>
      <w:r>
        <w:t>Turn field context into polished deliverables before the story goes cold.</w:t>
      </w:r>
    </w:p>
    <w:p>
      <w:pPr>
        <w:pStyle w:val="Heading1"/>
      </w:pPr>
      <w:r>
        <w:t>Proof points</w:t>
      </w:r>
    </w:p>
    <w:p>
      <w:pPr>
        <w:pStyle w:val="ListBullet"/>
      </w:pPr>
      <w:r>
        <w:t>Source-linked drafts, faster follow-up, consistent client language, visible human review.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5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D7F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C88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