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Security FAQ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Buyer-facing security answers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Data</w:t>
      </w:r>
    </w:p>
    <w:p>
      <w:pPr>
        <w:pStyle w:val="ListBullet"/>
      </w:pPr>
      <w:r>
        <w:t>Customer context is workspace-scoped and retained according to customer policy.</w:t>
      </w:r>
    </w:p>
    <w:p>
      <w:pPr>
        <w:pStyle w:val="Heading1"/>
      </w:pPr>
      <w:r>
        <w:t>AI</w:t>
      </w:r>
    </w:p>
    <w:p>
      <w:pPr>
        <w:pStyle w:val="ListBullet"/>
      </w:pPr>
      <w:r>
        <w:t>Generated outputs are reviewable and source-linked; sensitive data controls are part of onboarding.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