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Security And Privacy Overview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Early-stage posture for sensitive client context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Principles</w:t>
      </w:r>
    </w:p>
    <w:p>
      <w:pPr>
        <w:pStyle w:val="ListBullet"/>
      </w:pPr>
      <w:r>
        <w:t>Least-privilege access, reviewable AI outputs, source traceability, encrypted storage, clear retention controls.</w:t>
      </w:r>
    </w:p>
    <w:p>
      <w:pPr>
        <w:pStyle w:val="Heading1"/>
      </w:pPr>
      <w:r>
        <w:t>Initial controls</w:t>
      </w:r>
    </w:p>
    <w:p>
      <w:pPr>
        <w:pStyle w:val="ListBullet"/>
      </w:pPr>
      <w:r>
        <w:t>Role-based workspace access, audit logs for deliverable sharing, data deletion workflow, model-provider review.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