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Investor Data Room Index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Investor diligence folder map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Company</w:t>
      </w:r>
    </w:p>
    <w:p>
      <w:pPr>
        <w:pStyle w:val="ListBullet"/>
      </w:pPr>
      <w:r>
        <w:t>One-pager, founder letter, operating snapshot, hiring plan.</w:t>
      </w:r>
    </w:p>
    <w:p>
      <w:pPr>
        <w:pStyle w:val="Heading1"/>
      </w:pPr>
      <w:r>
        <w:t>Product</w:t>
      </w:r>
    </w:p>
    <w:p>
      <w:pPr>
        <w:pStyle w:val="ListBullet"/>
      </w:pPr>
      <w:r>
        <w:t>PRD, roadmap, demo script, QA report, security overview.</w:t>
      </w:r>
    </w:p>
    <w:p>
      <w:pPr>
        <w:pStyle w:val="Heading1"/>
      </w:pPr>
      <w:r>
        <w:t>Financial</w:t>
      </w:r>
    </w:p>
    <w:p>
      <w:pPr>
        <w:pStyle w:val="ListBullet"/>
      </w:pPr>
      <w:r>
        <w:t>5-year model, pricing memo, use-of-funds summary.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