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560"/>
              <w:left w:type="dxa" w:w="720"/>
              <w:bottom w:type="dxa" w:w="560"/>
              <w:right w:type="dxa" w:w="720"/>
            </w:tcMar>
          </w:tcPr>
          <w:p>
            <w:pPr>
              <w:spacing w:after="100" w:before="0" w:line="276"/>
              <w:jc w:val="center"/>
            </w:pPr>
            <w:r>
              <w:rPr>
                <w:rFonts w:ascii="Arial" w:cs="Arial" w:eastAsia="Arial" w:hAnsi="Arial"/>
                <w:b/>
                <w:bCs/>
                <w:color w:val="FFFFFF"/>
                <w:sz w:val="72"/>
                <w:szCs w:val="72"/>
              </w:rPr>
              <w:t xml:space="preserve">AuditMind</w:t>
            </w:r>
          </w:p>
          <w:p>
            <w:pPr>
              <w:spacing w:after="60" w:before="0" w:line="276"/>
              <w:jc w:val="center"/>
            </w:pPr>
            <w:r>
              <w:rPr>
                <w:rFonts w:ascii="Arial" w:cs="Arial" w:eastAsia="Arial" w:hAnsi="Arial"/>
                <w:color w:val="A8C8E8"/>
                <w:sz w:val="30"/>
                <w:szCs w:val="30"/>
              </w:rPr>
              <w:t xml:space="preserve">Shadow AI Risk Assessment</w:t>
            </w:r>
          </w:p>
          <w:p>
            <w:pPr>
              <w:pBdr>
                <w:top w:val="single" w:color="4A7FB5" w:sz="4" w:space="10"/>
              </w:pBdr>
              <w:spacing w:after="0" w:before="160" w:line="276"/>
              <w:jc w:val="center"/>
            </w:pPr>
            <w:r>
              <w:rPr>
                <w:rFonts w:ascii="Arial" w:cs="Arial" w:eastAsia="Arial" w:hAnsi="Arial"/>
                <w:i/>
                <w:iCs/>
                <w:color w:val="88AACC"/>
                <w:sz w:val="22"/>
                <w:szCs w:val="22"/>
              </w:rPr>
              <w:t xml:space="preserve">A Case Study in AI Governance Pre-Screening for the Government Software Sector</w:t>
            </w:r>
          </w:p>
        </w:tc>
      </w:tr>
    </w:tbl>
    <w:p>
      <w:pPr>
        <w:spacing w:after="120" w:before="280"/>
      </w:pPr>
    </w:p>
    <w:p>
      <w:pPr>
        <w:jc w:val="center"/>
      </w:pPr>
      <w:r>
        <w:rPr>
          <w:rFonts w:ascii="Arial" w:cs="Arial" w:eastAsia="Arial" w:hAnsi="Arial"/>
          <w:color w:val="666666"/>
          <w:sz w:val="20"/>
          <w:szCs w:val="20"/>
        </w:rPr>
        <w:t xml:space="preserve">Data Analytics in Business Accounting  |  April 2026</w:t>
      </w:r>
    </w:p>
    <w:p>
      <w:pPr>
        <w:spacing w:after="0" w:before="60" w:line="276"/>
        <w:jc w:val="center"/>
      </w:pPr>
      <w:r>
        <w:rPr>
          <w:rFonts w:ascii="Arial" w:cs="Arial" w:eastAsia="Arial" w:hAnsi="Arial"/>
          <w:b/>
          <w:bCs/>
          <w:color w:val="1B2A4A"/>
          <w:sz w:val="20"/>
          <w:szCs w:val="20"/>
        </w:rPr>
        <w:t xml:space="preserve">Derrick Chua Jingye  |  William Jewell College</w:t>
      </w:r>
    </w:p>
    <w:p>
      <w:pPr>
        <w:spacing w:after="240" w:before="400"/>
      </w:pPr>
    </w:p>
    <w:p>
      <w:pPr>
        <w:pBdr>
          <w:bottom w:val="single" w:color="2E6DA4" w:sz="8" w:space="4"/>
        </w:pBdr>
        <w:spacing w:after="160" w:before="400" w:line="276"/>
      </w:pPr>
      <w:r>
        <w:rPr>
          <w:rFonts w:ascii="Arial" w:cs="Arial" w:eastAsia="Arial" w:hAnsi="Arial"/>
          <w:b/>
          <w:bCs/>
          <w:color w:val="1B2A4A"/>
          <w:sz w:val="34"/>
          <w:szCs w:val="34"/>
        </w:rPr>
        <w:t xml:space="preserve">1. Where This Started</w:t>
      </w:r>
    </w:p>
    <w:p>
      <w:pPr>
        <w:spacing w:after="160" w:before="60"/>
      </w:pPr>
    </w:p>
    <w:p>
      <w:pPr>
        <w:spacing w:after="80" w:before="80" w:line="330"/>
      </w:pPr>
      <w:r>
        <w:rPr>
          <w:rFonts w:ascii="Arial" w:cs="Arial" w:eastAsia="Arial" w:hAnsi="Arial"/>
          <w:color w:val="111111"/>
          <w:sz w:val="22"/>
          <w:szCs w:val="22"/>
        </w:rPr>
        <w:t xml:space="preserve">My original plan for this project was to build an anomaly detection tool using Benford's Law — the mathematical principle that in naturally occurring financial datasets, certain leading digits appear more frequently than others. Deviations from this pattern can signal manipulation, error, or fraud. It is a real technique that real audit teams use, and it seemed like a natural intersection of data science and accounting.</w:t>
      </w:r>
    </w:p>
    <w:p>
      <w:pPr>
        <w:spacing w:after="160" w:before="60"/>
      </w:pPr>
    </w:p>
    <w:p>
      <w:pPr>
        <w:spacing w:after="80" w:before="80" w:line="330"/>
      </w:pPr>
      <w:r>
        <w:rPr>
          <w:rFonts w:ascii="Arial" w:cs="Arial" w:eastAsia="Arial" w:hAnsi="Arial"/>
          <w:color w:val="111111"/>
          <w:sz w:val="22"/>
          <w:szCs w:val="22"/>
        </w:rPr>
        <w:t xml:space="preserve">The problem I ran into almost immediately: companies like AuditBoard, Workiva, and Alteryx already do this at enterprise scale, with dedicated products, established client bases, and years of refinement. Building another Benford's Law dashboard would not add anything to a space that is already well-served.</w:t>
      </w:r>
    </w:p>
    <w:p>
      <w:pPr>
        <w:spacing w:after="160" w:before="60"/>
      </w:pPr>
    </w:p>
    <w:p>
      <w:pPr>
        <w:spacing w:after="80" w:before="80" w:line="330"/>
      </w:pPr>
      <w:r>
        <w:rPr>
          <w:rFonts w:ascii="Arial" w:cs="Arial" w:eastAsia="Arial" w:hAnsi="Arial"/>
          <w:color w:val="111111"/>
          <w:sz w:val="22"/>
          <w:szCs w:val="22"/>
        </w:rPr>
        <w:t xml:space="preserve">I raised this in a conversation with my professor, an experienced internal audit practitioner, and asked what the actual gaps were — what internal audit teams were genuinely struggling with that existing tools did not address. The answer was immediate: Shadow AI. Employees using AI tools that IT and compliance teams do not know about, with data they should not be sharing, leaving no audit trail and no way for the organization to know it happened.</w:t>
      </w:r>
    </w:p>
    <w:p>
      <w:pPr>
        <w:spacing w:after="160" w:before="60"/>
      </w:pPr>
    </w:p>
    <w:p>
      <w:pPr>
        <w:spacing w:after="80" w:before="80" w:line="330"/>
      </w:pPr>
      <w:r>
        <w:rPr>
          <w:rFonts w:ascii="Arial" w:cs="Arial" w:eastAsia="Arial" w:hAnsi="Arial"/>
          <w:color w:val="111111"/>
          <w:sz w:val="22"/>
          <w:szCs w:val="22"/>
        </w:rPr>
        <w:t xml:space="preserve">That answer changed the direction of the project entirely. This paper documents what I built in response to that problem, the methodology behind it, and what it found when tested on four real companies in the government software sector.</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2. The Shadow AI Problem</w:t>
      </w:r>
    </w:p>
    <w:p>
      <w:pPr>
        <w:spacing w:after="160" w:before="60"/>
      </w:pPr>
    </w:p>
    <w:p>
      <w:pPr>
        <w:spacing w:after="80" w:before="80" w:line="330"/>
      </w:pPr>
      <w:r>
        <w:rPr>
          <w:rFonts w:ascii="Arial" w:cs="Arial" w:eastAsia="Arial" w:hAnsi="Arial"/>
          <w:color w:val="111111"/>
          <w:sz w:val="22"/>
          <w:szCs w:val="22"/>
        </w:rPr>
        <w:t xml:space="preserve">Shadow AI is what happens when employees use AI tools that their organization has not approved, reviewed, or even acknowledged — and they do it with real company data.</w:t>
      </w:r>
    </w:p>
    <w:p>
      <w:pPr>
        <w:spacing w:after="160" w:before="60"/>
      </w:pPr>
    </w:p>
    <w:p>
      <w:pPr>
        <w:spacing w:after="80" w:before="80" w:line="330"/>
      </w:pPr>
      <w:r>
        <w:rPr>
          <w:rFonts w:ascii="Arial" w:cs="Arial" w:eastAsia="Arial" w:hAnsi="Arial"/>
          <w:color w:val="111111"/>
          <w:sz w:val="22"/>
          <w:szCs w:val="22"/>
        </w:rPr>
        <w:t xml:space="preserve">The scenario is mundane. An employee needs to summarize a long legal contract before a meeting. They open ChatGPT, paste in the document, and get a usable summary in thirty seconds. The contract contains client names, pricing terms, and confidential legal language. None of that registered as a data risk in the moment. It registered as a productivity problem that just got solved.</w:t>
      </w:r>
    </w:p>
    <w:p>
      <w:pPr>
        <w:spacing w:after="160" w:before="60"/>
      </w:pPr>
    </w:p>
    <w:p>
      <w:pPr>
        <w:spacing w:after="80" w:before="80" w:line="330"/>
      </w:pPr>
      <w:r>
        <w:rPr>
          <w:rFonts w:ascii="Arial" w:cs="Arial" w:eastAsia="Arial" w:hAnsi="Arial"/>
          <w:color w:val="111111"/>
          <w:sz w:val="22"/>
          <w:szCs w:val="22"/>
        </w:rPr>
        <w:t xml:space="preserve">The IT team has no record of this. The compliance team has no record of this. The data is now on a third-party AI platform, processed under that platform's data retention terms, and nobody in the organization knows it happened. There is no alert. There is no log. There is no audit trail.</w:t>
      </w:r>
    </w:p>
    <w:p>
      <w:pPr>
        <w:spacing w:after="160" w:before="60"/>
      </w:pPr>
    </w:p>
    <w:p>
      <w:pPr>
        <w:spacing w:after="80" w:before="80" w:line="330"/>
      </w:pPr>
      <w:r>
        <w:rPr>
          <w:rFonts w:ascii="Arial" w:cs="Arial" w:eastAsia="Arial" w:hAnsi="Arial"/>
          <w:color w:val="111111"/>
          <w:sz w:val="22"/>
          <w:szCs w:val="22"/>
        </w:rPr>
        <w:t xml:space="preserve">This is happening across every industry, at every company size, every day. The Institute of Internal Auditors found in 2023 that fewer than 30% of audit teams have a documented process for assessing AI-related risks, including Shadow AI. Meanwhile, tools like ChatGPT, Copilot, Gemini, Notion AI, and dozens of niche AI productivity tools are being used by employees in marketing, engineering, HR, finance, legal, and customer support — typically without any formal review or approval.</w:t>
      </w:r>
    </w:p>
    <w:p>
      <w:pPr>
        <w:spacing w:after="160" w:before="60"/>
      </w:pPr>
    </w:p>
    <w:p>
      <w:pPr>
        <w:pBdr>
          <w:left w:val="single" w:color="2E6DA4" w:sz="16" w:space="10"/>
        </w:pBdr>
        <w:spacing w:after="200" w:before="200" w:line="340"/>
        <w:ind w:left="800" w:right="800"/>
      </w:pPr>
      <w:r>
        <w:rPr>
          <w:rFonts w:ascii="Arial" w:cs="Arial" w:eastAsia="Arial" w:hAnsi="Arial"/>
          <w:i/>
          <w:iCs/>
          <w:color w:val="1B2A4A"/>
          <w:sz w:val="24"/>
          <w:szCs w:val="24"/>
        </w:rPr>
        <w:t xml:space="preserve">Shadow AI is not primarily a technology problem. It is a governance gap. The tools exist. The policies do not.</w:t>
      </w:r>
    </w:p>
    <w:p>
      <w:pPr>
        <w:spacing w:after="160" w:before="60"/>
      </w:pPr>
    </w:p>
    <w:p>
      <w:pPr>
        <w:spacing w:after="80" w:before="80" w:line="330"/>
      </w:pPr>
      <w:r>
        <w:rPr>
          <w:rFonts w:ascii="Arial" w:cs="Arial" w:eastAsia="Arial" w:hAnsi="Arial"/>
          <w:color w:val="111111"/>
          <w:sz w:val="22"/>
          <w:szCs w:val="22"/>
        </w:rPr>
        <w:t xml:space="preserve">For an internal audit team, this creates a specific challenge. Traditional audit approaches — reviewing approved software lists, testing IT controls, checking vendor contracts — do not surface Shadow AI. An employee using a personal AI account on a work laptop, connected to a home network, leaves no footprint in corporate network logs. The exposure is real. The visibility is essentially nonexistent.</w:t>
      </w:r>
    </w:p>
    <w:p>
      <w:pPr>
        <w:spacing w:after="160" w:before="60"/>
      </w:pPr>
    </w:p>
    <w:p>
      <w:pPr>
        <w:spacing w:after="80" w:before="80" w:line="330"/>
      </w:pPr>
      <w:r>
        <w:rPr>
          <w:rFonts w:ascii="Arial" w:cs="Arial" w:eastAsia="Arial" w:hAnsi="Arial"/>
          <w:color w:val="111111"/>
          <w:sz w:val="22"/>
          <w:szCs w:val="22"/>
        </w:rPr>
        <w:t xml:space="preserve">The government software sector makes this problem particularly acute. Companies in this space manage court records, tax systems, public safety data, law enforcement records, and citizen financial information. A data breach in this context is not just a reputational problem. It is a regulatory violation, a contract risk, and in some cases a public safety issue. When employees at these companies use unauthorized AI tools with sensitive government data, the consequences can extend far beyond the organization itself.</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3. Why the Government Software Sector</w:t>
      </w:r>
    </w:p>
    <w:p>
      <w:pPr>
        <w:spacing w:after="160" w:before="60"/>
      </w:pPr>
    </w:p>
    <w:p>
      <w:pPr>
        <w:spacing w:after="80" w:before="80" w:line="330"/>
      </w:pPr>
      <w:r>
        <w:rPr>
          <w:rFonts w:ascii="Arial" w:cs="Arial" w:eastAsia="Arial" w:hAnsi="Arial"/>
          <w:color w:val="111111"/>
          <w:sz w:val="22"/>
          <w:szCs w:val="22"/>
        </w:rPr>
        <w:t xml:space="preserve">I chose to focus this case study on the government software sector for three reasons.</w:t>
      </w:r>
    </w:p>
    <w:p>
      <w:pPr>
        <w:spacing w:after="160" w:before="60"/>
      </w:pPr>
    </w:p>
    <w:p>
      <w:pPr>
        <w:spacing w:after="80" w:before="80" w:line="330"/>
      </w:pPr>
      <w:r>
        <w:rPr>
          <w:rFonts w:ascii="Arial" w:cs="Arial" w:eastAsia="Arial" w:hAnsi="Arial"/>
          <w:color w:val="111111"/>
          <w:sz w:val="22"/>
          <w:szCs w:val="22"/>
        </w:rPr>
        <w:t xml:space="preserve">First, the data sensitivity is among the highest of any industry. Companies in this space handle information that includes criminal records, sealed court documents, mental health evaluations, law enforcement records, tax data, election systems, and citizen financial information. The consequences of that data reaching an unauthorized AI platform are serious and specific.</w:t>
      </w:r>
    </w:p>
    <w:p>
      <w:pPr>
        <w:spacing w:after="160" w:before="60"/>
      </w:pPr>
    </w:p>
    <w:p>
      <w:pPr>
        <w:spacing w:after="80" w:before="80" w:line="330"/>
      </w:pPr>
      <w:r>
        <w:rPr>
          <w:rFonts w:ascii="Arial" w:cs="Arial" w:eastAsia="Arial" w:hAnsi="Arial"/>
          <w:color w:val="111111"/>
          <w:sz w:val="22"/>
          <w:szCs w:val="22"/>
        </w:rPr>
        <w:t xml:space="preserve">Second, AI adoption in this sector is accelerating rapidly. Government software companies are under pressure to modernize, and AI is central to that modernization. Companies are launching AI platforms, acquiring AI startups, and announcing partnerships with major AI providers. The question is whether governance is keeping pace.</w:t>
      </w:r>
    </w:p>
    <w:p>
      <w:pPr>
        <w:spacing w:after="160" w:before="60"/>
      </w:pPr>
    </w:p>
    <w:p>
      <w:pPr>
        <w:spacing w:after="80" w:before="80" w:line="330"/>
      </w:pPr>
      <w:r>
        <w:rPr>
          <w:rFonts w:ascii="Arial" w:cs="Arial" w:eastAsia="Arial" w:hAnsi="Arial"/>
          <w:color w:val="111111"/>
          <w:sz w:val="22"/>
          <w:szCs w:val="22"/>
        </w:rPr>
        <w:t xml:space="preserve">Third, and most directly relevant to the audit context: government clients are increasingly asking vendors to demonstrate AI governance maturity. This is not just an internal audit concern. It is a vendor assessment concern. A city government evaluating its software vendor needs to know whether that vendor is governing AI responsibly before trusting them with citizen data. That external assurance question is exactly what this tool is designed to address.</w:t>
      </w:r>
    </w:p>
    <w:p>
      <w:pPr>
        <w:spacing w:after="160" w:before="60"/>
      </w:pPr>
    </w:p>
    <w:p>
      <w:pPr>
        <w:spacing w:after="80" w:before="80" w:line="330"/>
      </w:pPr>
      <w:r>
        <w:rPr>
          <w:rFonts w:ascii="Arial" w:cs="Arial" w:eastAsia="Arial" w:hAnsi="Arial"/>
          <w:color w:val="111111"/>
          <w:sz w:val="22"/>
          <w:szCs w:val="22"/>
        </w:rPr>
        <w:t xml:space="preserve">The four companies assessed in this study — Tyler Technologies, CentralSquare Technologies, Accela, and OpenGov — are all active in the government software market, all handle sensitive government data, and all are actively developing AI capabilities. They are a representative peer group for this analysis.</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4. A Five-Year Pattern — Tyler Technologies Security Incidents</w:t>
      </w:r>
    </w:p>
    <w:p>
      <w:pPr>
        <w:spacing w:after="160" w:before="60"/>
      </w:pPr>
    </w:p>
    <w:p>
      <w:pPr>
        <w:spacing w:after="80" w:before="80" w:line="330"/>
      </w:pPr>
      <w:r>
        <w:rPr>
          <w:rFonts w:ascii="Arial" w:cs="Arial" w:eastAsia="Arial" w:hAnsi="Arial"/>
          <w:color w:val="111111"/>
          <w:sz w:val="22"/>
          <w:szCs w:val="22"/>
        </w:rPr>
        <w:t xml:space="preserve">Tyler Technologies is one of the largest government software companies in the United States. It serves 44,000 government installations across courts, tax systems, public safety agencies, and election systems. It reported revenue of $2.14 billion in 2024 and has 7,300+ employees across 56 locations globally. (Tyler Technologies 2024 Annual Report.)</w:t>
      </w:r>
    </w:p>
    <w:p>
      <w:pPr>
        <w:spacing w:after="160" w:before="60"/>
      </w:pPr>
    </w:p>
    <w:p>
      <w:pPr>
        <w:spacing w:after="80" w:before="80" w:line="330"/>
      </w:pPr>
      <w:r>
        <w:rPr>
          <w:rFonts w:ascii="Arial" w:cs="Arial" w:eastAsia="Arial" w:hAnsi="Arial"/>
          <w:color w:val="111111"/>
          <w:sz w:val="22"/>
          <w:szCs w:val="22"/>
        </w:rPr>
        <w:t xml:space="preserve">It has also experienced four significant security incidents in five years.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Year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Incident</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What Happened</w:t>
            </w:r>
          </w:p>
        </w:tc>
      </w:tr>
      <w:tr>
        <w:tc>
          <w:tcPr>
            <w:tcW w:type="dxa" w:w="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2020</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19"/>
                <w:szCs w:val="19"/>
              </w:rPr>
              <w:t xml:space="preserve">RansomExx Ransomware</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sz w:val="19"/>
                <w:szCs w:val="19"/>
              </w:rPr>
              <w:t xml:space="preserve">Unauthorized intruder gained access to internal phone and IT systems. Tyler acknowledged the breach publicly and initiated remediation.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Data Breach — 1,000 to 10,000 Records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sz w:val="19"/>
                <w:szCs w:val="19"/>
              </w:rPr>
              <w:t xml:space="preserve">Confirmed breach affecting between 1,000 and 10,000 individuals. Details limited in public disclosure.</w:t>
            </w:r>
          </w:p>
        </w:tc>
      </w:tr>
      <w:tr>
        <w:tc>
          <w:tcPr>
            <w:tcW w:type="dxa" w:w="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2024</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19"/>
                <w:szCs w:val="19"/>
              </w:rPr>
              <w:t xml:space="preserve">LockBit Attack — Government Securities Data</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sz w:val="19"/>
                <w:szCs w:val="19"/>
              </w:rPr>
              <w:t xml:space="preserve">LockBit ransomware gang stole data from a Tyler cloud environment hosting the DC DISB STAR system, which manages securities data for the District of Columbia. Tyler notified the client of unauthorized access.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2025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Jury System Vulnerability — 12 States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sz w:val="19"/>
                <w:szCs w:val="19"/>
              </w:rPr>
              <w:t xml:space="preserve">Vulnerability in Tyler's jury management system exposed sensitive juror personal data across 12+ states. Exposed fields included ethnicity, education level, employer information, marital status, number of children, citizenship status, criminal history, and medical exemption requests.</w:t>
            </w:r>
          </w:p>
        </w:tc>
      </w:tr>
    </w:tbl>
    <w:p>
      <w:pPr>
        <w:spacing w:after="160" w:before="100"/>
      </w:pPr>
    </w:p>
    <w:p>
      <w:pPr>
        <w:spacing w:after="80" w:before="80" w:line="330"/>
      </w:pPr>
      <w:r>
        <w:rPr>
          <w:rFonts w:ascii="Arial" w:cs="Arial" w:eastAsia="Arial" w:hAnsi="Arial"/>
          <w:color w:val="111111"/>
          <w:sz w:val="22"/>
          <w:szCs w:val="22"/>
        </w:rPr>
        <w:t xml:space="preserve">This timeline matters for two reasons. The first is obvious: four incidents in five years at a company handling some of the most sensitive government data in the country represents a persistent pattern of security vulnerabilities.</w:t>
      </w:r>
    </w:p>
    <w:p>
      <w:pPr>
        <w:spacing w:after="160" w:before="60"/>
      </w:pPr>
    </w:p>
    <w:p>
      <w:pPr>
        <w:spacing w:after="80" w:before="80" w:line="330"/>
      </w:pPr>
      <w:r>
        <w:rPr>
          <w:rFonts w:ascii="Arial" w:cs="Arial" w:eastAsia="Arial" w:hAnsi="Arial"/>
          <w:color w:val="111111"/>
          <w:sz w:val="22"/>
          <w:szCs w:val="22"/>
        </w:rPr>
        <w:t xml:space="preserve">The second reason is less obvious but more relevant to this project. Traditional security controls — firewalls, endpoint protection, access management — were in place for all four of these incidents. Tyler had a CISO. Tyler had cloud security infrastructure. Tyler had vendor contracts and compliance frameworks. None of that prevented the breaches from happening.</w:t>
      </w:r>
    </w:p>
    <w:p>
      <w:pPr>
        <w:spacing w:after="160" w:before="60"/>
      </w:pPr>
    </w:p>
    <w:p>
      <w:pPr>
        <w:spacing w:after="80" w:before="80" w:line="330"/>
      </w:pPr>
      <w:r>
        <w:rPr>
          <w:rFonts w:ascii="Arial" w:cs="Arial" w:eastAsia="Arial" w:hAnsi="Arial"/>
          <w:color w:val="111111"/>
          <w:sz w:val="22"/>
          <w:szCs w:val="22"/>
        </w:rPr>
        <w:t xml:space="preserve">Shadow AI operates in a completely different threat model. It does not require an external attacker. It does not trigger a firewall alert. It does not show up in a SIEM dashboard. An employee pastes sensitive government data into an unauthorized AI tool, and nothing in the existing security infrastructure notices. The question this incident history raises is not just whether Tyler's traditional controls are sufficient. It is whether those controls were even designed for the threat that Shadow AI represents.</w:t>
      </w:r>
    </w:p>
    <w:p>
      <w:pPr>
        <w:spacing w:after="160" w:before="60"/>
      </w:pPr>
    </w:p>
    <w:p>
      <w:pPr>
        <w:pBdr>
          <w:left w:val="single" w:color="2E6DA4" w:sz="16" w:space="10"/>
        </w:pBdr>
        <w:spacing w:after="200" w:before="200" w:line="340"/>
        <w:ind w:left="800" w:right="800"/>
      </w:pPr>
      <w:r>
        <w:rPr>
          <w:rFonts w:ascii="Arial" w:cs="Arial" w:eastAsia="Arial" w:hAnsi="Arial"/>
          <w:i/>
          <w:iCs/>
          <w:color w:val="1B2A4A"/>
          <w:sz w:val="24"/>
          <w:szCs w:val="24"/>
        </w:rPr>
        <w:t xml:space="preserve">This incident history does not prove weak AI governance. It does increase the importance of being able to demonstrate how emerging risks — including Shadow AI — are identified, governed, and monitored.</w:t>
      </w:r>
    </w:p>
    <w:p>
      <w:pPr>
        <w:spacing w:after="160" w:before="60"/>
      </w:pPr>
    </w:p>
    <w:p>
      <w:pPr>
        <w:spacing w:after="80" w:before="80" w:line="330"/>
      </w:pPr>
      <w:r>
        <w:rPr>
          <w:rFonts w:ascii="Arial" w:cs="Arial" w:eastAsia="Arial" w:hAnsi="Arial"/>
          <w:color w:val="111111"/>
          <w:sz w:val="22"/>
          <w:szCs w:val="22"/>
        </w:rPr>
        <w:t xml:space="preserve">I am not suggesting Tyler has weak internal AI governance. The AuditMind tool can only measure what is externally observable. Tyler may have strong internal policies that are simply not public. But from the outside, the combination of a serious breach history and limited visible AI governance signals is exactly the pattern the tool is designed to flag.</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5. What AuditMind Is</w:t>
      </w:r>
    </w:p>
    <w:p>
      <w:pPr>
        <w:spacing w:after="160" w:before="60"/>
      </w:pPr>
    </w:p>
    <w:p>
      <w:pPr>
        <w:spacing w:after="80" w:before="80" w:line="330"/>
      </w:pPr>
      <w:r>
        <w:rPr>
          <w:rFonts w:ascii="Arial" w:cs="Arial" w:eastAsia="Arial" w:hAnsi="Arial"/>
          <w:color w:val="111111"/>
          <w:sz w:val="22"/>
          <w:szCs w:val="22"/>
        </w:rPr>
        <w:t xml:space="preserve">AuditMind is an AI governance pre-screening tool. It takes a company website, researches the company's public profile using AI-powered web search, applies a structured scoring rubric, and produces a report formatted for an internal audit context.</w:t>
      </w:r>
    </w:p>
    <w:p>
      <w:pPr>
        <w:spacing w:after="160" w:before="60"/>
      </w:pPr>
    </w:p>
    <w:p>
      <w:pPr>
        <w:spacing w:after="80" w:before="80" w:line="330"/>
      </w:pPr>
      <w:r>
        <w:rPr>
          <w:rFonts w:ascii="Arial" w:cs="Arial" w:eastAsia="Arial" w:hAnsi="Arial"/>
          <w:color w:val="111111"/>
          <w:sz w:val="22"/>
          <w:szCs w:val="22"/>
        </w:rPr>
        <w:t xml:space="preserve">The tool does not prove Shadow AI exists inside any company. It cannot access internal systems. What it does is identify external signals that suggest AI adoption may be moving faster than visible governance — and it converts those signals into a practical audit starting point.</w:t>
      </w:r>
    </w:p>
    <w:p>
      <w:pPr>
        <w:spacing w:after="160" w:before="60"/>
      </w:pPr>
    </w:p>
    <w:p>
      <w:pPr>
        <w:spacing w:after="80" w:before="80" w:line="330"/>
      </w:pPr>
      <w:r>
        <w:rPr>
          <w:rFonts w:ascii="Arial" w:cs="Arial" w:eastAsia="Arial" w:hAnsi="Arial"/>
          <w:color w:val="111111"/>
          <w:sz w:val="22"/>
          <w:szCs w:val="22"/>
        </w:rPr>
        <w:t xml:space="preserve">The one-sentence version: AuditMind tells an audit team where to look. The audit team does the actual internal verification.</w:t>
      </w:r>
    </w:p>
    <w:p>
      <w:pPr>
        <w:spacing w:after="160" w:before="80"/>
      </w:pPr>
    </w:p>
    <w:p>
      <w:pPr>
        <w:spacing w:after="100" w:before="280" w:line="276"/>
      </w:pPr>
      <w:r>
        <w:rPr>
          <w:rFonts w:ascii="Arial" w:cs="Arial" w:eastAsia="Arial" w:hAnsi="Arial"/>
          <w:b/>
          <w:bCs/>
          <w:color w:val="2E6DA4"/>
          <w:sz w:val="26"/>
          <w:szCs w:val="26"/>
        </w:rPr>
        <w:t xml:space="preserve">5.1  Two Scores and a Gap</w:t>
      </w:r>
    </w:p>
    <w:p>
      <w:pPr>
        <w:spacing w:after="80" w:before="80" w:line="330"/>
      </w:pPr>
      <w:r>
        <w:rPr>
          <w:rFonts w:ascii="Arial" w:cs="Arial" w:eastAsia="Arial" w:hAnsi="Arial"/>
          <w:color w:val="111111"/>
          <w:sz w:val="22"/>
          <w:szCs w:val="22"/>
        </w:rPr>
        <w:t xml:space="preserve">Earlier versions of this tool used a single risk score. A practitioner who reviewed that version pointed out immediately that one number was too blunt — a 900-person company handling court records and a 5,000-person company selling low-risk software could score identically, which would be meaningless. The current version uses two separate scores and a gap between them.</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120"/>
              <w:left w:type="dxa" w:w="160"/>
              <w:bottom w:type="dxa" w:w="120"/>
              <w:right w:type="dxa" w:w="160"/>
            </w:tcMar>
          </w:tcPr>
          <w:p>
            <w:r>
              <w:rPr>
                <w:rFonts w:ascii="Arial" w:cs="Arial" w:eastAsia="Arial" w:hAnsi="Arial"/>
                <w:b/>
                <w:bCs/>
                <w:color w:val="FFFFFF"/>
                <w:sz w:val="20"/>
                <w:szCs w:val="20"/>
              </w:rPr>
              <w:t xml:space="preserve">Exposure Score</w:t>
            </w:r>
          </w:p>
        </w:tc>
        <w:tc>
          <w:tcPr>
            <w:tcW w:type="dxa" w:w="7160"/>
            <w:tcBorders>
              <w:top w:val="single" w:color="CCCCCC" w:sz="1"/>
              <w:left w:val="single" w:color="CCCCCC" w:sz="1"/>
              <w:bottom w:val="single" w:color="CCCCCC" w:sz="1"/>
              <w:right w:val="single" w:color="CCCCCC" w:sz="1"/>
            </w:tcBorders>
            <w:shd w:fill="F5F8FC" w:val="clear"/>
            <w:tcMar>
              <w:top w:type="dxa" w:w="120"/>
              <w:left w:type="dxa" w:w="160"/>
              <w:bottom w:type="dxa" w:w="120"/>
              <w:right w:type="dxa" w:w="160"/>
            </w:tcMar>
          </w:tcPr>
          <w:p>
            <w:pPr>
              <w:spacing w:after="0" w:before="0" w:line="300"/>
            </w:pPr>
            <w:r>
              <w:rPr>
                <w:rFonts w:ascii="Arial" w:cs="Arial" w:eastAsia="Arial" w:hAnsi="Arial"/>
                <w:sz w:val="20"/>
                <w:szCs w:val="20"/>
              </w:rPr>
              <w:t xml:space="preserve">How much does this company need strong AI governance? Scored on data sensitivity, regulatory environment, AI product presence, workforce distribution, and security incident history.</w:t>
            </w:r>
          </w:p>
        </w:tc>
      </w:tr>
      <w:tr>
        <w:tc>
          <w:tcPr>
            <w:tcW w:type="dxa" w:w="2200"/>
            <w:tcBorders>
              <w:top w:val="single" w:color="CCCCCC" w:sz="1"/>
              <w:left w:val="single" w:color="CCCCCC" w:sz="1"/>
              <w:bottom w:val="single" w:color="CCCCCC" w:sz="1"/>
              <w:right w:val="single" w:color="CCCCCC" w:sz="1"/>
            </w:tcBorders>
            <w:shd w:fill="2E6DA4" w:val="clear"/>
            <w:tcMar>
              <w:top w:type="dxa" w:w="120"/>
              <w:left w:type="dxa" w:w="160"/>
              <w:bottom w:type="dxa" w:w="120"/>
              <w:right w:type="dxa" w:w="160"/>
            </w:tcMar>
          </w:tcPr>
          <w:p>
            <w:r>
              <w:rPr>
                <w:rFonts w:ascii="Arial" w:cs="Arial" w:eastAsia="Arial" w:hAnsi="Arial"/>
                <w:b/>
                <w:bCs/>
                <w:color w:val="FFFFFF"/>
                <w:sz w:val="20"/>
                <w:szCs w:val="20"/>
              </w:rPr>
              <w:t xml:space="preserve">Visible Governance Score</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line="300"/>
            </w:pPr>
            <w:r>
              <w:rPr>
                <w:rFonts w:ascii="Arial" w:cs="Arial" w:eastAsia="Arial" w:hAnsi="Arial"/>
                <w:sz w:val="20"/>
                <w:szCs w:val="20"/>
              </w:rPr>
              <w:t xml:space="preserve">How much external evidence of AI governance exists? Scored on published policies, named governance roles, certifications, training programs, and customer disclosures. Deliberately named Visible Governance rather than Governance because the tool only measures what is externally observable. A low score may reflect limited public disclosure rather than weak internal controls.</w:t>
            </w:r>
          </w:p>
        </w:tc>
      </w:tr>
      <w:tr>
        <w:tc>
          <w:tcPr>
            <w:tcW w:type="dxa" w:w="2200"/>
            <w:tcBorders>
              <w:top w:val="single" w:color="CCCCCC" w:sz="1"/>
              <w:left w:val="single" w:color="CCCCCC" w:sz="1"/>
              <w:bottom w:val="single" w:color="CCCCCC" w:sz="1"/>
              <w:right w:val="single" w:color="CCCCCC" w:sz="1"/>
            </w:tcBorders>
            <w:shd w:fill="1B2A4A" w:val="clear"/>
            <w:tcMar>
              <w:top w:type="dxa" w:w="120"/>
              <w:left w:type="dxa" w:w="160"/>
              <w:bottom w:type="dxa" w:w="120"/>
              <w:right w:type="dxa" w:w="160"/>
            </w:tcMar>
          </w:tcPr>
          <w:p>
            <w:r>
              <w:rPr>
                <w:rFonts w:ascii="Arial" w:cs="Arial" w:eastAsia="Arial" w:hAnsi="Arial"/>
                <w:b/>
                <w:bCs/>
                <w:color w:val="FFFFFF"/>
                <w:sz w:val="20"/>
                <w:szCs w:val="20"/>
              </w:rPr>
              <w:t xml:space="preserve">Shadow AI Gap</w:t>
            </w:r>
          </w:p>
        </w:tc>
        <w:tc>
          <w:tcPr>
            <w:tcW w:type="dxa" w:w="7160"/>
            <w:tcBorders>
              <w:top w:val="single" w:color="CCCCCC" w:sz="1"/>
              <w:left w:val="single" w:color="CCCCCC" w:sz="1"/>
              <w:bottom w:val="single" w:color="CCCCCC" w:sz="1"/>
              <w:right w:val="single" w:color="CCCCCC" w:sz="1"/>
            </w:tcBorders>
            <w:shd w:fill="F0F0F0" w:val="clear"/>
            <w:tcMar>
              <w:top w:type="dxa" w:w="120"/>
              <w:left w:type="dxa" w:w="160"/>
              <w:bottom w:type="dxa" w:w="120"/>
              <w:right w:type="dxa" w:w="160"/>
            </w:tcMar>
          </w:tcPr>
          <w:p>
            <w:pPr>
              <w:spacing w:after="0" w:before="0" w:line="300"/>
            </w:pPr>
            <w:r>
              <w:rPr>
                <w:rFonts w:ascii="Arial" w:cs="Arial" w:eastAsia="Arial" w:hAnsi="Arial"/>
                <w:sz w:val="20"/>
                <w:szCs w:val="20"/>
              </w:rPr>
              <w:t xml:space="preserve">Exposure Score minus Visible Governance Score. The higher this number, the wider the gap between how much AI governance a company needs and how much external assurance it provides. This is the headline number in every report.</w:t>
            </w:r>
          </w:p>
        </w:tc>
      </w:tr>
    </w:tbl>
    <w:p>
      <w:pPr>
        <w:spacing w:after="160" w:before="120"/>
      </w:pPr>
    </w:p>
    <w:p>
      <w:pPr>
        <w:spacing w:after="100" w:before="280" w:line="276"/>
      </w:pPr>
      <w:r>
        <w:rPr>
          <w:rFonts w:ascii="Arial" w:cs="Arial" w:eastAsia="Arial" w:hAnsi="Arial"/>
          <w:b/>
          <w:bCs/>
          <w:color w:val="2E6DA4"/>
          <w:sz w:val="26"/>
          <w:szCs w:val="26"/>
        </w:rPr>
        <w:t xml:space="preserve">5.2  The Scoring Rubric</w:t>
      </w:r>
    </w:p>
    <w:p>
      <w:pPr>
        <w:spacing w:after="80" w:before="80" w:line="330"/>
      </w:pPr>
      <w:r>
        <w:rPr>
          <w:rFonts w:ascii="Arial" w:cs="Arial" w:eastAsia="Arial" w:hAnsi="Arial"/>
          <w:color w:val="111111"/>
          <w:sz w:val="22"/>
          <w:szCs w:val="22"/>
        </w:rPr>
        <w:t xml:space="preserve">Each score is calculated from a fixed rubric — eight criteria for visible governance, seven for exposure — with defined partial credit rules. Points are only awarded for evidence that can be cited from public sources. If it cannot be found, the points are zero. No assumptions are made.</w:t>
      </w:r>
    </w:p>
    <w:p>
      <w:pPr>
        <w:spacing w:after="160" w:before="60"/>
      </w:pPr>
    </w:p>
    <w:p>
      <w:pPr>
        <w:spacing w:after="80" w:before="80" w:line="330"/>
      </w:pPr>
      <w:r>
        <w:rPr>
          <w:rFonts w:ascii="Arial" w:cs="Arial" w:eastAsia="Arial" w:hAnsi="Arial"/>
          <w:color w:val="111111"/>
          <w:sz w:val="22"/>
          <w:szCs w:val="22"/>
        </w:rPr>
        <w:t xml:space="preserve">One rule worth highlighting: a named CISO earns a maximum of 5 points on its own under data protection and cybersecurity maturity. Having a CISO is standard practice for any company of significant size. It does not demonstrate AI governance. Points in that criterion require the CISO presence to be accompanied by certifications, published programs, or documented frameworks.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40"/>
        <w:gridCol w:w="592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VISIBLE GOVERNANCE CRITERIA (100 pts total)</w:t>
            </w:r>
          </w:p>
        </w:tc>
        <w:tc>
          <w:tcPr>
            <w:tcW w:type="dxa" w:w="64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Max</w:t>
            </w:r>
          </w:p>
        </w:tc>
        <w:tc>
          <w:tcPr>
            <w:tcW w:type="dxa" w:w="592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9"/>
                <w:szCs w:val="19"/>
              </w:rPr>
              <w:t xml:space="preserve">What Counts as Evidence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AI Governance Ownership</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Named AI governance leader, committee, or board-level AI oversight. Partial credit for vague references.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AI Acceptable Use Policy</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15</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Published policy with data restrictions, approved tools list, employee responsibilities, and escalation process. Partial credit for general responsible AI statements.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AI Risk Management Framework</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Responsible AI principles, model risk process, ethics framework, or AI risk assessment methodology.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AI Vendor and Third-Party Risk</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15</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Evidence that AI tools and vendors are reviewed for privacy, security, data handling, and contractual risk before use.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Data Protection and Cybersecurity Maturity</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CISO plus certifications such as FedRAMP, SOC2, NIST, or ISO 27001. A named CISO alone earns 5 points maximum — it is not AI governance by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Employee Training and Awareness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AI-specific training program or security awareness program covering AI risks and acceptable use.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Monitoring, Reporting and Incident Response</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10</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AI-specific incident response process, security monitoring covering AI tool usage, or documented escalation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Transparency and Customer Assurance</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2E6DA4"/>
                <w:sz w:val="20"/>
                <w:szCs w:val="20"/>
              </w:rPr>
              <w:t xml:space="preserve">5</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Customer-facing AI disclosures, trust center AI content, or buyer-facing governance documentation.</w:t>
            </w:r>
          </w:p>
        </w:tc>
      </w:tr>
      <w:tr>
        <w:tc>
          <w:tcPr>
            <w:tcW w:type="dxa" w:w="2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EXPOSURE CRITERIA (100 pts total)</w:t>
            </w:r>
          </w:p>
        </w:tc>
        <w:tc>
          <w:tcPr>
            <w:tcW w:type="dxa" w:w="64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Max</w:t>
            </w:r>
          </w:p>
        </w:tc>
        <w:tc>
          <w:tcPr>
            <w:tcW w:type="dxa" w:w="592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What Counts as Evidence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Sensitive or Regulated Data</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25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Government records, PII, financial, healthcare, criminal justice, or public sector data. Multiple types score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AI in Products or Workflows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20</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AI features in customer-facing products, announced AI partnerships, or AI-enabled automation at the core of the business.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Regulated Operating Environment</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15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CJIS, HIPAA, FedRAMP, GDPR, or public sector procurement requirements. Multiple frameworks score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Scale and Operational Complexity</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15</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Large customer base, employee count, multiple jurisdictions, or complex integrations. Data sensitivity outweighs headcount in scoring.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Distributed Workforce Risk</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10</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Confirmed hybrid or remote workforce, developer-heavy teams, or geographically distributed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Security Incident History</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Known breach, ransomware, unauthorized access, or repeated security incidents in the last five years.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bCs/>
                <w:color w:val="111111"/>
                <w:sz w:val="19"/>
                <w:szCs w:val="19"/>
              </w:rPr>
              <w:t xml:space="preserve">Public AI Hiring or Expansion</w:t>
            </w:r>
          </w:p>
        </w:tc>
        <w:tc>
          <w:tcPr>
            <w:tcW w:type="dxa" w:w="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8B4513"/>
                <w:sz w:val="20"/>
                <w:szCs w:val="20"/>
              </w:rPr>
              <w:t xml:space="preserve">5</w:t>
            </w:r>
          </w:p>
        </w:tc>
        <w:tc>
          <w:tcPr>
            <w:tcW w:type="dxa" w:w="5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line="290"/>
            </w:pPr>
            <w:r>
              <w:rPr>
                <w:rFonts w:ascii="Arial" w:cs="Arial" w:eastAsia="Arial" w:hAnsi="Arial"/>
                <w:b w:val="false"/>
                <w:bCs w:val="false"/>
                <w:color w:val="111111"/>
                <w:sz w:val="19"/>
                <w:szCs w:val="19"/>
              </w:rPr>
              <w:t xml:space="preserve">AI job postings, AI lab, AI-related acquisitions, or explicit AI transformation language.</w:t>
            </w:r>
          </w:p>
        </w:tc>
      </w:tr>
    </w:tbl>
    <w:p>
      <w:pPr>
        <w:spacing w:after="160" w:before="100"/>
      </w:pPr>
    </w:p>
    <w:p>
      <w:pPr>
        <w:spacing w:after="100" w:before="280" w:line="276"/>
      </w:pPr>
      <w:r>
        <w:rPr>
          <w:rFonts w:ascii="Arial" w:cs="Arial" w:eastAsia="Arial" w:hAnsi="Arial"/>
          <w:b/>
          <w:bCs/>
          <w:color w:val="2E6DA4"/>
          <w:sz w:val="26"/>
          <w:szCs w:val="26"/>
        </w:rPr>
        <w:t xml:space="preserve">5.3  Two Users, Same Engine</w:t>
      </w:r>
    </w:p>
    <w:p>
      <w:pPr>
        <w:spacing w:after="80" w:before="80" w:line="330"/>
      </w:pPr>
      <w:r>
        <w:rPr>
          <w:rFonts w:ascii="Arial" w:cs="Arial" w:eastAsia="Arial" w:hAnsi="Arial"/>
          <w:color w:val="111111"/>
          <w:sz w:val="22"/>
          <w:szCs w:val="22"/>
        </w:rPr>
        <w:t xml:space="preserve">The tool was designed with two distinct users in mind, each asking a different question from the same output.</w:t>
      </w:r>
    </w:p>
    <w:p>
      <w:pPr>
        <w:spacing w:after="160" w:before="60"/>
      </w:pPr>
    </w:p>
    <w:p>
      <w:pPr>
        <w:spacing w:after="80" w:before="80" w:line="330"/>
      </w:pPr>
      <w:r>
        <w:rPr>
          <w:rFonts w:ascii="Arial" w:cs="Arial" w:eastAsia="Arial" w:hAnsi="Arial"/>
          <w:color w:val="111111"/>
          <w:sz w:val="22"/>
          <w:szCs w:val="22"/>
        </w:rPr>
        <w:t xml:space="preserve">An internal audit team uses it to answer: where do we stand on AI governance and are we ready if a government client or audit committee asks us to prove it? The output becomes a planning input — a basis for deciding whether AI governance belongs in the next audit cycle and which areas to prioritize.</w:t>
      </w:r>
    </w:p>
    <w:p>
      <w:pPr>
        <w:spacing w:after="160" w:before="60"/>
      </w:pPr>
    </w:p>
    <w:p>
      <w:pPr>
        <w:spacing w:after="80" w:before="80" w:line="330"/>
      </w:pPr>
      <w:r>
        <w:rPr>
          <w:rFonts w:ascii="Arial" w:cs="Arial" w:eastAsia="Arial" w:hAnsi="Arial"/>
          <w:color w:val="111111"/>
          <w:sz w:val="22"/>
          <w:szCs w:val="22"/>
        </w:rPr>
        <w:t xml:space="preserve">A government IT director uses it to answer: is this vendor mature enough on AI governance to be trusted with citizen data before we renew this contract or expand this engagement? The output becomes a vendor pre-screen — identifying which vendors warrant deeper due diligence and what specific evidence to request.</w:t>
      </w:r>
    </w:p>
    <w:p>
      <w:pPr>
        <w:spacing w:after="160" w:before="60"/>
      </w:pPr>
    </w:p>
    <w:p>
      <w:pPr>
        <w:spacing w:after="80" w:before="80" w:line="330"/>
      </w:pPr>
      <w:r>
        <w:rPr>
          <w:rFonts w:ascii="Arial" w:cs="Arial" w:eastAsia="Arial" w:hAnsi="Arial"/>
          <w:color w:val="111111"/>
          <w:sz w:val="22"/>
          <w:szCs w:val="22"/>
        </w:rPr>
        <w:t xml:space="preserve">In both cases, the report is not a verdict. It is a starting point.</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6. Peer Comparison — Four Government Software Companies</w:t>
      </w:r>
    </w:p>
    <w:p>
      <w:pPr>
        <w:spacing w:after="160" w:before="60"/>
      </w:pPr>
    </w:p>
    <w:p>
      <w:pPr>
        <w:spacing w:after="80" w:before="80" w:line="330"/>
      </w:pPr>
      <w:r>
        <w:rPr>
          <w:rFonts w:ascii="Arial" w:cs="Arial" w:eastAsia="Arial" w:hAnsi="Arial"/>
          <w:color w:val="111111"/>
          <w:sz w:val="22"/>
          <w:szCs w:val="22"/>
        </w:rPr>
        <w:t xml:space="preserve">AuditMind was run on Tyler Technologies and three of its direct competitors: CentralSquare Technologies, Accela, and OpenGov. All four serve state and local government clients. All four handle sensitive government data. All four are actively developing AI capabilities. The question was which ones have visible governance keeping pace with that development. A reminder before the results: these scores reflect publicly observable signals only. A low Visible Governance Score means limited external assurance, not confirmed internal control failure.</w:t>
      </w:r>
    </w:p>
    <w:p>
      <w:pPr>
        <w:spacing w:after="160" w:before="80"/>
      </w:pPr>
    </w:p>
    <w:p>
      <w:pPr>
        <w:spacing w:after="100" w:before="280" w:line="276"/>
      </w:pPr>
      <w:r>
        <w:rPr>
          <w:rFonts w:ascii="Arial" w:cs="Arial" w:eastAsia="Arial" w:hAnsi="Arial"/>
          <w:b/>
          <w:bCs/>
          <w:color w:val="2E6DA4"/>
          <w:sz w:val="26"/>
          <w:szCs w:val="26"/>
        </w:rPr>
        <w:t xml:space="preserve">6.1  Results</w:t>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1500"/>
        <w:gridCol w:w="1360"/>
        <w:gridCol w:w="100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Company</w:t>
            </w:r>
          </w:p>
        </w:tc>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Exposure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Visible Governance</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Shadow AI Gap</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Risk Level</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Confidence</w:t>
            </w:r>
          </w:p>
        </w:tc>
      </w:tr>
      <w:tr>
        <w:tc>
          <w:tcPr>
            <w:tcW w:type="dxa" w:w="200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r>
              <w:rPr>
                <w:rFonts w:ascii="Arial" w:cs="Arial" w:eastAsia="Arial" w:hAnsi="Arial"/>
                <w:b/>
                <w:bCs/>
                <w:sz w:val="20"/>
                <w:szCs w:val="20"/>
              </w:rPr>
              <w:t xml:space="preserve">Tyler Technologies</w:t>
            </w:r>
          </w:p>
        </w:tc>
        <w:tc>
          <w:tcPr>
            <w:tcW w:type="dxa" w:w="90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pPr>
              <w:jc w:val="center"/>
            </w:pPr>
            <w:r>
              <w:rPr>
                <w:rFonts w:ascii="Arial" w:cs="Arial" w:eastAsia="Arial" w:hAnsi="Arial"/>
                <w:sz w:val="22"/>
                <w:szCs w:val="22"/>
              </w:rPr>
              <w:t xml:space="preserve">85</w:t>
            </w:r>
          </w:p>
        </w:tc>
        <w:tc>
          <w:tcPr>
            <w:tcW w:type="dxa" w:w="160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pPr>
              <w:jc w:val="center"/>
            </w:pPr>
            <w:r>
              <w:rPr>
                <w:rFonts w:ascii="Arial" w:cs="Arial" w:eastAsia="Arial" w:hAnsi="Arial"/>
                <w:sz w:val="22"/>
                <w:szCs w:val="22"/>
              </w:rPr>
              <w:t xml:space="preserve">35</w:t>
            </w:r>
          </w:p>
        </w:tc>
        <w:tc>
          <w:tcPr>
            <w:tcW w:type="dxa" w:w="150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pPr>
              <w:jc w:val="center"/>
            </w:pPr>
            <w:r>
              <w:rPr>
                <w:rFonts w:ascii="Arial" w:cs="Arial" w:eastAsia="Arial" w:hAnsi="Arial"/>
                <w:b/>
                <w:bCs/>
                <w:color w:val="D4850A"/>
                <w:sz w:val="24"/>
                <w:szCs w:val="24"/>
              </w:rPr>
              <w:t xml:space="preserve">50</w:t>
            </w:r>
          </w:p>
        </w:tc>
        <w:tc>
          <w:tcPr>
            <w:tcW w:type="dxa" w:w="136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pPr>
              <w:jc w:val="center"/>
            </w:pPr>
            <w:r>
              <w:rPr>
                <w:rFonts w:ascii="Arial" w:cs="Arial" w:eastAsia="Arial" w:hAnsi="Arial"/>
                <w:b/>
                <w:bCs/>
                <w:color w:val="D4850A"/>
                <w:sz w:val="19"/>
                <w:szCs w:val="19"/>
              </w:rPr>
              <w:t xml:space="preserve">HIGH</w:t>
            </w:r>
          </w:p>
        </w:tc>
        <w:tc>
          <w:tcPr>
            <w:tcW w:type="dxa" w:w="1000"/>
            <w:tcBorders>
              <w:top w:val="single" w:color="CCCCCC" w:sz="1"/>
              <w:left w:val="single" w:color="CCCCCC" w:sz="1"/>
              <w:bottom w:val="single" w:color="CCCCCC" w:sz="1"/>
              <w:right w:val="single" w:color="CCCCCC" w:sz="1"/>
            </w:tcBorders>
            <w:shd w:fill="FDF8EE" w:val="clear"/>
            <w:tcMar>
              <w:top w:type="dxa" w:w="100"/>
              <w:left w:type="dxa" w:w="120"/>
              <w:bottom w:type="dxa" w:w="100"/>
              <w:right w:type="dxa" w:w="120"/>
            </w:tcMar>
          </w:tcPr>
          <w:p>
            <w:pPr>
              <w:jc w:val="center"/>
            </w:pPr>
            <w:r>
              <w:rPr>
                <w:rFonts w:ascii="Arial" w:cs="Arial" w:eastAsia="Arial" w:hAnsi="Arial"/>
                <w:color w:val="666666"/>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r>
              <w:rPr>
                <w:rFonts w:ascii="Arial" w:cs="Arial" w:eastAsia="Arial" w:hAnsi="Arial"/>
                <w:b/>
                <w:bCs/>
                <w:sz w:val="20"/>
                <w:szCs w:val="20"/>
              </w:rPr>
              <w:t xml:space="preserve">CentralSquare</w:t>
            </w:r>
          </w:p>
        </w:tc>
        <w:tc>
          <w:tcPr>
            <w:tcW w:type="dxa" w:w="9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90</w:t>
            </w:r>
          </w:p>
        </w:tc>
        <w:tc>
          <w:tcPr>
            <w:tcW w:type="dxa" w:w="16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25</w:t>
            </w:r>
          </w:p>
        </w:tc>
        <w:tc>
          <w:tcPr>
            <w:tcW w:type="dxa" w:w="15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24"/>
                <w:szCs w:val="24"/>
              </w:rPr>
              <w:t xml:space="preserve">65</w:t>
            </w:r>
          </w:p>
        </w:tc>
        <w:tc>
          <w:tcPr>
            <w:tcW w:type="dxa" w:w="136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19"/>
                <w:szCs w:val="19"/>
              </w:rPr>
              <w:t xml:space="preserve">CRITICAL</w:t>
            </w:r>
          </w:p>
        </w:tc>
        <w:tc>
          <w:tcPr>
            <w:tcW w:type="dxa" w:w="1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color w:val="666666"/>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r>
              <w:rPr>
                <w:rFonts w:ascii="Arial" w:cs="Arial" w:eastAsia="Arial" w:hAnsi="Arial"/>
                <w:b/>
                <w:bCs/>
                <w:sz w:val="20"/>
                <w:szCs w:val="20"/>
              </w:rPr>
              <w:t xml:space="preserve">Accela</w:t>
            </w:r>
          </w:p>
        </w:tc>
        <w:tc>
          <w:tcPr>
            <w:tcW w:type="dxa" w:w="9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85</w:t>
            </w:r>
          </w:p>
        </w:tc>
        <w:tc>
          <w:tcPr>
            <w:tcW w:type="dxa" w:w="16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10</w:t>
            </w:r>
          </w:p>
        </w:tc>
        <w:tc>
          <w:tcPr>
            <w:tcW w:type="dxa" w:w="15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24"/>
                <w:szCs w:val="24"/>
              </w:rPr>
              <w:t xml:space="preserve">75</w:t>
            </w:r>
          </w:p>
        </w:tc>
        <w:tc>
          <w:tcPr>
            <w:tcW w:type="dxa" w:w="136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19"/>
                <w:szCs w:val="19"/>
              </w:rPr>
              <w:t xml:space="preserve">CRITICAL</w:t>
            </w:r>
          </w:p>
        </w:tc>
        <w:tc>
          <w:tcPr>
            <w:tcW w:type="dxa" w:w="1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color w:val="666666"/>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r>
              <w:rPr>
                <w:rFonts w:ascii="Arial" w:cs="Arial" w:eastAsia="Arial" w:hAnsi="Arial"/>
                <w:b/>
                <w:bCs/>
                <w:sz w:val="20"/>
                <w:szCs w:val="20"/>
              </w:rPr>
              <w:t xml:space="preserve">OpenGov</w:t>
            </w:r>
          </w:p>
        </w:tc>
        <w:tc>
          <w:tcPr>
            <w:tcW w:type="dxa" w:w="9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70</w:t>
            </w:r>
          </w:p>
        </w:tc>
        <w:tc>
          <w:tcPr>
            <w:tcW w:type="dxa" w:w="16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sz w:val="22"/>
                <w:szCs w:val="22"/>
              </w:rPr>
              <w:t xml:space="preserve">0</w:t>
            </w:r>
          </w:p>
        </w:tc>
        <w:tc>
          <w:tcPr>
            <w:tcW w:type="dxa" w:w="15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24"/>
                <w:szCs w:val="24"/>
              </w:rPr>
              <w:t xml:space="preserve">70</w:t>
            </w:r>
          </w:p>
        </w:tc>
        <w:tc>
          <w:tcPr>
            <w:tcW w:type="dxa" w:w="136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b/>
                <w:bCs/>
                <w:color w:val="C0392B"/>
                <w:sz w:val="19"/>
                <w:szCs w:val="19"/>
              </w:rPr>
              <w:t xml:space="preserve">CRITICAL</w:t>
            </w:r>
          </w:p>
        </w:tc>
        <w:tc>
          <w:tcPr>
            <w:tcW w:type="dxa" w:w="1000"/>
            <w:tcBorders>
              <w:top w:val="single" w:color="CCCCCC" w:sz="1"/>
              <w:left w:val="single" w:color="CCCCCC" w:sz="1"/>
              <w:bottom w:val="single" w:color="CCCCCC" w:sz="1"/>
              <w:right w:val="single" w:color="CCCCCC" w:sz="1"/>
            </w:tcBorders>
            <w:shd w:fill="FDF2F2" w:val="clear"/>
            <w:tcMar>
              <w:top w:type="dxa" w:w="100"/>
              <w:left w:type="dxa" w:w="120"/>
              <w:bottom w:type="dxa" w:w="100"/>
              <w:right w:type="dxa" w:w="120"/>
            </w:tcMar>
          </w:tcPr>
          <w:p>
            <w:pPr>
              <w:jc w:val="center"/>
            </w:pPr>
            <w:r>
              <w:rPr>
                <w:rFonts w:ascii="Arial" w:cs="Arial" w:eastAsia="Arial" w:hAnsi="Arial"/>
                <w:color w:val="666666"/>
                <w:sz w:val="19"/>
                <w:szCs w:val="19"/>
              </w:rPr>
              <w:t xml:space="preserve">Low</w:t>
            </w:r>
          </w:p>
        </w:tc>
      </w:tr>
    </w:tbl>
    <w:p>
      <w:pPr>
        <w:spacing w:after="160" w:before="100"/>
      </w:pPr>
    </w:p>
    <w:p>
      <w:pPr>
        <w:spacing w:after="80" w:before="80" w:line="330"/>
      </w:pPr>
      <w:r>
        <w:rPr>
          <w:rFonts w:ascii="Arial" w:cs="Arial" w:eastAsia="Arial" w:hAnsi="Arial"/>
          <w:i/>
          <w:iCs/>
          <w:color w:val="666666"/>
          <w:sz w:val="22"/>
          <w:szCs w:val="22"/>
        </w:rPr>
        <w:t xml:space="preserve">Full scoring breakdowns, audit findings with confidence ratings, department risk zones, audit questions, and evidence request lists for each company are in Appendices A through D.</w:t>
      </w:r>
    </w:p>
    <w:p>
      <w:pPr>
        <w:spacing w:after="160" w:before="120"/>
      </w:pPr>
    </w:p>
    <w:p>
      <w:pPr>
        <w:spacing w:after="100" w:before="280" w:line="276"/>
      </w:pPr>
      <w:r>
        <w:rPr>
          <w:rFonts w:ascii="Arial" w:cs="Arial" w:eastAsia="Arial" w:hAnsi="Arial"/>
          <w:b/>
          <w:bCs/>
          <w:color w:val="2E6DA4"/>
          <w:sz w:val="26"/>
          <w:szCs w:val="26"/>
        </w:rPr>
        <w:t xml:space="preserve">6.2  Company-by-Company Analysis</w:t>
      </w:r>
    </w:p>
    <w:p>
      <w:pPr>
        <w:spacing w:after="160" w:before="60"/>
      </w:pPr>
    </w:p>
    <w:p>
      <w:pPr>
        <w:spacing w:after="80" w:before="200" w:line="276"/>
      </w:pPr>
      <w:r>
        <w:rPr>
          <w:rFonts w:ascii="Arial" w:cs="Arial" w:eastAsia="Arial" w:hAnsi="Arial"/>
          <w:b/>
          <w:bCs/>
          <w:color w:val="1B2A4A"/>
          <w:sz w:val="22"/>
          <w:szCs w:val="22"/>
        </w:rPr>
        <w:t xml:space="preserve">Tyler Technologies — Exposure 85, Visible Governance 35, Gap 50 — High Risk</w:t>
      </w:r>
    </w:p>
    <w:p>
      <w:pPr>
        <w:spacing w:after="80" w:before="80" w:line="330"/>
      </w:pPr>
      <w:r>
        <w:rPr>
          <w:rFonts w:ascii="Arial" w:cs="Arial" w:eastAsia="Arial" w:hAnsi="Arial"/>
          <w:color w:val="111111"/>
          <w:sz w:val="22"/>
          <w:szCs w:val="22"/>
        </w:rPr>
        <w:t xml:space="preserve">Tyler scores highest on visible governance of the four companies assessed. That is useful context, not a clean bill of health. A gap of 50 still indicates High Risk. The 35 points on visible governance come from a confirmed CISO reporting to the COO, SOC compliance documentation, and indirect signals around vendor risk management. What Tyler does not have publicly is a named AI governance owner, a published AI acceptable use policy, any evidence of AI-specific employee training, or customer-facing AI disclosures.</w:t>
      </w:r>
    </w:p>
    <w:p>
      <w:pPr>
        <w:spacing w:after="160" w:before="60"/>
      </w:pPr>
    </w:p>
    <w:p>
      <w:pPr>
        <w:spacing w:after="80" w:before="80" w:line="330"/>
      </w:pPr>
      <w:r>
        <w:rPr>
          <w:rFonts w:ascii="Arial" w:cs="Arial" w:eastAsia="Arial" w:hAnsi="Arial"/>
          <w:color w:val="111111"/>
          <w:sz w:val="22"/>
          <w:szCs w:val="22"/>
        </w:rPr>
        <w:t xml:space="preserve">Given the incident history documented in Section 4 — four breaches between 2020 and 2025 — the absence of visible AI governance signals is notable. Each of those incidents involved data that was supposed to be protected by existing controls. Shadow AI introduces a different attack surface that those controls were not designed to monitor.</w:t>
      </w:r>
    </w:p>
    <w:p>
      <w:pPr>
        <w:spacing w:after="160" w:before="80"/>
      </w:pPr>
    </w:p>
    <w:p>
      <w:pPr>
        <w:spacing w:after="80" w:before="200" w:line="276"/>
      </w:pPr>
      <w:r>
        <w:rPr>
          <w:rFonts w:ascii="Arial" w:cs="Arial" w:eastAsia="Arial" w:hAnsi="Arial"/>
          <w:b/>
          <w:bCs/>
          <w:color w:val="1B2A4A"/>
          <w:sz w:val="22"/>
          <w:szCs w:val="22"/>
        </w:rPr>
        <w:t xml:space="preserve">CentralSquare Technologies — Exposure 90, Visible Governance 25, Gap 65 — Critical Risk</w:t>
      </w:r>
    </w:p>
    <w:p>
      <w:pPr>
        <w:spacing w:after="80" w:before="80" w:line="330"/>
      </w:pPr>
      <w:r>
        <w:rPr>
          <w:rFonts w:ascii="Arial" w:cs="Arial" w:eastAsia="Arial" w:hAnsi="Arial"/>
          <w:color w:val="111111"/>
          <w:sz w:val="22"/>
          <w:szCs w:val="22"/>
        </w:rPr>
        <w:t xml:space="preserve">CentralSquare processes 25% of all 911 calls in North America. Its software manages criminal records, jail systems, court management, and emergency dispatch for 8,000 government agencies serving three out of four North American citizens. (Source: CentralSquare company website and AuditMind assessment, Appendix B.) It recently launched Centerline AI — an AI platform already deployed at 50 agencies — and acquired two AI companies in the past two years.</w:t>
      </w:r>
    </w:p>
    <w:p>
      <w:pPr>
        <w:spacing w:after="160" w:before="60"/>
      </w:pPr>
    </w:p>
    <w:p>
      <w:pPr>
        <w:spacing w:after="80" w:before="80" w:line="330"/>
      </w:pPr>
      <w:r>
        <w:rPr>
          <w:rFonts w:ascii="Arial" w:cs="Arial" w:eastAsia="Arial" w:hAnsi="Arial"/>
          <w:color w:val="111111"/>
          <w:sz w:val="22"/>
          <w:szCs w:val="22"/>
        </w:rPr>
        <w:t xml:space="preserve">Its visible governance score is 25. There is no public AI policy. No named AI governance role. No documented AI incident response process for public safety scenarios. The gap between what CentralSquare is deploying and what it is disclosing about how that deployment is governed is 65 points. For a company whose AI systems are directly integrated into emergency response operations, that gap is significant.</w:t>
      </w:r>
    </w:p>
    <w:p>
      <w:pPr>
        <w:spacing w:after="160" w:before="80"/>
      </w:pPr>
    </w:p>
    <w:p>
      <w:pPr>
        <w:spacing w:after="80" w:before="200" w:line="276"/>
      </w:pPr>
      <w:r>
        <w:rPr>
          <w:rFonts w:ascii="Arial" w:cs="Arial" w:eastAsia="Arial" w:hAnsi="Arial"/>
          <w:b/>
          <w:bCs/>
          <w:color w:val="1B2A4A"/>
          <w:sz w:val="22"/>
          <w:szCs w:val="22"/>
        </w:rPr>
        <w:t xml:space="preserve">Accela — Exposure 85, Visible Governance 10, Gap 75 — Critical Risk</w:t>
      </w:r>
    </w:p>
    <w:p>
      <w:pPr>
        <w:spacing w:after="80" w:before="80" w:line="330"/>
      </w:pPr>
      <w:r>
        <w:rPr>
          <w:rFonts w:ascii="Arial" w:cs="Arial" w:eastAsia="Arial" w:hAnsi="Arial"/>
          <w:color w:val="111111"/>
          <w:sz w:val="22"/>
          <w:szCs w:val="22"/>
        </w:rPr>
        <w:t xml:space="preserve">Accela explicitly states it is building AI across its end-to-end civic platform using 30 years of government workflow data. It serves 900 government agencies and processes permit, license, inspection, and regulatory data for over 300 million citizens globally. (Source: Accela company website and AuditMind assessment, Appendix C.) Its visible governance score is 10.</w:t>
      </w:r>
    </w:p>
    <w:p>
      <w:pPr>
        <w:spacing w:after="160" w:before="60"/>
      </w:pPr>
    </w:p>
    <w:p>
      <w:pPr>
        <w:spacing w:after="80" w:before="80" w:line="330"/>
      </w:pPr>
      <w:r>
        <w:rPr>
          <w:rFonts w:ascii="Arial" w:cs="Arial" w:eastAsia="Arial" w:hAnsi="Arial"/>
          <w:color w:val="111111"/>
          <w:sz w:val="22"/>
          <w:szCs w:val="22"/>
        </w:rPr>
        <w:t xml:space="preserve">That 10 comes from a single source: Accela was actively recruiting a VP of Information Security at the time of assessment. Every other governance criterion returned zero. No published AI policy. No AI governance committee or named owner. No risk framework. No vendor review process. No training program. No monitoring documentation. No customer-facing AI disclosures. Accela's gap of 75 is the highest in this peer group, and it belongs to the company that is most explicitly building AI into government civic platforms.</w:t>
      </w:r>
    </w:p>
    <w:p>
      <w:pPr>
        <w:spacing w:after="160" w:before="80"/>
      </w:pPr>
    </w:p>
    <w:p>
      <w:pPr>
        <w:spacing w:after="80" w:before="200" w:line="276"/>
      </w:pPr>
      <w:r>
        <w:rPr>
          <w:rFonts w:ascii="Arial" w:cs="Arial" w:eastAsia="Arial" w:hAnsi="Arial"/>
          <w:b/>
          <w:bCs/>
          <w:color w:val="1B2A4A"/>
          <w:sz w:val="22"/>
          <w:szCs w:val="22"/>
        </w:rPr>
        <w:t xml:space="preserve">OpenGov — Exposure 70, Visible Governance 0, Gap 70 — Critical Risk (Low Confidence)</w:t>
      </w:r>
    </w:p>
    <w:p>
      <w:pPr>
        <w:spacing w:after="80" w:before="80" w:line="330"/>
      </w:pPr>
      <w:r>
        <w:rPr>
          <w:rFonts w:ascii="Arial" w:cs="Arial" w:eastAsia="Arial" w:hAnsi="Arial"/>
          <w:color w:val="111111"/>
          <w:sz w:val="22"/>
          <w:szCs w:val="22"/>
        </w:rPr>
        <w:t xml:space="preserve">OpenGov's visible governance score is 0. The tool found nothing in publicly available sources — no policy, no governance role, no certifications, no incident response documentation, nothing customer-facing on AI governance. The confidence rating on this assessment is Low, which means this score may significantly understate OpenGov's actual internal maturity. The company may have strong internal controls that are simply not published.</w:t>
      </w:r>
    </w:p>
    <w:p>
      <w:pPr>
        <w:spacing w:after="160" w:before="60"/>
      </w:pPr>
    </w:p>
    <w:p>
      <w:pPr>
        <w:spacing w:after="80" w:before="80" w:line="330"/>
      </w:pPr>
      <w:r>
        <w:rPr>
          <w:rFonts w:ascii="Arial" w:cs="Arial" w:eastAsia="Arial" w:hAnsi="Arial"/>
          <w:color w:val="111111"/>
          <w:sz w:val="22"/>
          <w:szCs w:val="22"/>
        </w:rPr>
        <w:t xml:space="preserve">What the score does reflect accurately is the external assurance picture: a government client evaluating OpenGov as a vendor would find no publicly observable evidence that AI is being governed. As government procurement increasingly requires vendors to demonstrate AI governance maturity — not just assert it verbally — the absence of any public-facing governance documentation is itself a risk.</w:t>
      </w:r>
    </w:p>
    <w:p>
      <w:pPr>
        <w:spacing w:after="160" w:before="80"/>
      </w:pPr>
    </w:p>
    <w:p>
      <w:pPr>
        <w:spacing w:after="100" w:before="280" w:line="276"/>
      </w:pPr>
      <w:r>
        <w:rPr>
          <w:rFonts w:ascii="Arial" w:cs="Arial" w:eastAsia="Arial" w:hAnsi="Arial"/>
          <w:b/>
          <w:bCs/>
          <w:color w:val="2E6DA4"/>
          <w:sz w:val="26"/>
          <w:szCs w:val="26"/>
        </w:rPr>
        <w:t xml:space="preserve">6.3  The Pattern</w:t>
      </w:r>
    </w:p>
    <w:p>
      <w:pPr>
        <w:spacing w:after="80" w:before="80" w:line="330"/>
      </w:pPr>
      <w:r>
        <w:rPr>
          <w:rFonts w:ascii="Arial" w:cs="Arial" w:eastAsia="Arial" w:hAnsi="Arial"/>
          <w:color w:val="111111"/>
          <w:sz w:val="22"/>
          <w:szCs w:val="22"/>
        </w:rPr>
        <w:t xml:space="preserve">Every company in this peer group is building AI capabilities into systems that manage courts, public safety, tax records, and citizen services. None of them has strong visible governance keeping pace with that development. This is not a single-company failure. Across this four-company sample, it is a consistent pattern.</w:t>
      </w:r>
    </w:p>
    <w:p>
      <w:pPr>
        <w:spacing w:after="160" w:before="60"/>
      </w:pPr>
    </w:p>
    <w:p>
      <w:pPr>
        <w:pBdr>
          <w:left w:val="single" w:color="2E6DA4" w:sz="16" w:space="10"/>
        </w:pBdr>
        <w:spacing w:after="200" w:before="200" w:line="340"/>
        <w:ind w:left="800" w:right="800"/>
      </w:pPr>
      <w:r>
        <w:rPr>
          <w:rFonts w:ascii="Arial" w:cs="Arial" w:eastAsia="Arial" w:hAnsi="Arial"/>
          <w:i/>
          <w:iCs/>
          <w:color w:val="1B2A4A"/>
          <w:sz w:val="24"/>
          <w:szCs w:val="24"/>
        </w:rPr>
        <w:t xml:space="preserve">Across this sample, every government software company assessed appears to be adopting AI faster than it is building visible governance around that adoption.</w:t>
      </w:r>
    </w:p>
    <w:p>
      <w:pPr>
        <w:spacing w:after="160" w:before="60"/>
      </w:pPr>
    </w:p>
    <w:p>
      <w:pPr>
        <w:spacing w:after="80" w:before="80" w:line="330"/>
      </w:pPr>
      <w:r>
        <w:rPr>
          <w:rFonts w:ascii="Arial" w:cs="Arial" w:eastAsia="Arial" w:hAnsi="Arial"/>
          <w:color w:val="111111"/>
          <w:sz w:val="22"/>
          <w:szCs w:val="22"/>
        </w:rPr>
        <w:t xml:space="preserve">Tyler being the best governed of the four is useful to know. Tyler still having a gap of 50 is what matters operationally. Government clients will start asking all of these vendors the same governance questions. The question is which vendors are prepared to answer them.</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7. From Pre-Screen to Internal Audit</w:t>
      </w:r>
    </w:p>
    <w:p>
      <w:pPr>
        <w:spacing w:after="160" w:before="60"/>
      </w:pPr>
    </w:p>
    <w:p>
      <w:pPr>
        <w:spacing w:after="80" w:before="80" w:line="330"/>
      </w:pPr>
      <w:r>
        <w:rPr>
          <w:rFonts w:ascii="Arial" w:cs="Arial" w:eastAsia="Arial" w:hAnsi="Arial"/>
          <w:color w:val="111111"/>
          <w:sz w:val="22"/>
          <w:szCs w:val="22"/>
        </w:rPr>
        <w:t xml:space="preserve">AuditMind identifies where to look. It cannot verify what is actually there. An internal audit team that decides the Shadow AI gap warrants formal attention would follow the pre-screen with a targeted AI governance readiness review. Based on practitioner input, that review focuses on five areas the tool cannot assess from public information.</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Test Area</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The Audit Question</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9"/>
                <w:szCs w:val="19"/>
              </w:rPr>
              <w:t xml:space="preserve">Evidence to Request</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bCs/>
                <w:sz w:val="20"/>
                <w:szCs w:val="20"/>
              </w:rPr>
              <w:t xml:space="preserve">AI Inventory and Ownership</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Does management know where AI is being used, who owns each use case, and whether it was approved?</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AI use case inventory, approved tool list, system owners, risk ratings, review dates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bCs/>
                <w:sz w:val="20"/>
                <w:szCs w:val="20"/>
              </w:rPr>
              <w:t xml:space="preserve">Data Protection Controls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Can employees tell what data is allowed or not in AI tools? Are technical controls in place beyond just a written policy?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AI acceptable use policy, data classification rules, DLP settings, blocked tool list, employee training records</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bCs/>
                <w:sz w:val="20"/>
                <w:szCs w:val="20"/>
              </w:rPr>
              <w:t xml:space="preserve">AI Vendor Review</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Before a team uses an AI tool, does anyone check data usage terms, model training agreements, retention periods, security posture, and contractual risk?</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Vendor risk assessments, procurement checklists, AI contract clauses, privacy reviews, approval records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bCs/>
                <w:sz w:val="20"/>
                <w:szCs w:val="20"/>
              </w:rPr>
              <w:t xml:space="preserve">Product AI Governance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Who validates that AI features in products are accurate, safe, explainable, and properly disclosed to customers before release?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Product AI feature inventory, model validation procedures, customer disclosures, release notes, legal review records</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bCs/>
                <w:sz w:val="20"/>
                <w:szCs w:val="20"/>
              </w:rPr>
              <w:t xml:space="preserve">Monitoring and Incident Response</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If someone misuses AI today — pastes sensitive data into an unauthorized tool — how would management find out? What happens next?</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pPr>
              <w:spacing w:after="0" w:before="0" w:line="300"/>
            </w:pPr>
            <w:r>
              <w:rPr>
                <w:rFonts w:ascii="Arial" w:cs="Arial" w:eastAsia="Arial" w:hAnsi="Arial"/>
                <w:b w:val="false"/>
                <w:bCs w:val="false"/>
                <w:sz w:val="19"/>
                <w:szCs w:val="19"/>
              </w:rPr>
              <w:t xml:space="preserve">AI incident response procedure, security monitoring logs, escalation contacts, audit committee reporting, remediation tracking</w:t>
            </w:r>
          </w:p>
        </w:tc>
      </w:tr>
    </w:tbl>
    <w:p>
      <w:pPr>
        <w:spacing w:after="160" w:before="100"/>
      </w:pPr>
    </w:p>
    <w:p>
      <w:pPr>
        <w:spacing w:after="80" w:before="80" w:line="330"/>
      </w:pPr>
      <w:r>
        <w:rPr>
          <w:rFonts w:ascii="Arial" w:cs="Arial" w:eastAsia="Arial" w:hAnsi="Arial"/>
          <w:color w:val="111111"/>
          <w:sz w:val="22"/>
          <w:szCs w:val="22"/>
        </w:rPr>
        <w:t xml:space="preserve">These five tests are where external pre-screening hands off to internal audit work. The pre-screen creates the case for looking. The readiness review determines whether the gap reflects a real control failure or simply limited public disclosure.</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8. Limitations and What a Production Version Would Need</w:t>
      </w:r>
    </w:p>
    <w:p>
      <w:pPr>
        <w:spacing w:after="160" w:before="60"/>
      </w:pPr>
    </w:p>
    <w:p>
      <w:pPr>
        <w:spacing w:after="80" w:before="80" w:line="330"/>
      </w:pPr>
      <w:r>
        <w:rPr>
          <w:rFonts w:ascii="Arial" w:cs="Arial" w:eastAsia="Arial" w:hAnsi="Arial"/>
          <w:color w:val="111111"/>
          <w:sz w:val="22"/>
          <w:szCs w:val="22"/>
        </w:rPr>
        <w:t xml:space="preserve">I want to be direct about what this tool does not do well.</w:t>
      </w:r>
    </w:p>
    <w:p>
      <w:pPr>
        <w:spacing w:after="160" w:before="60"/>
      </w:pPr>
    </w:p>
    <w:p>
      <w:pPr>
        <w:spacing w:after="80" w:before="80" w:line="330"/>
      </w:pPr>
      <w:r>
        <w:rPr>
          <w:rFonts w:ascii="Arial" w:cs="Arial" w:eastAsia="Arial" w:hAnsi="Arial"/>
          <w:color w:val="111111"/>
          <w:sz w:val="22"/>
          <w:szCs w:val="22"/>
        </w:rPr>
        <w:t xml:space="preserve">The scores are not fully stable across runs. During testing, Tyler's gap ranged from 50 to 75 across multiple sessions, depending on what public information the web search retrieved. The rubric criteria are fixed, but the evidence discovered in any given search session varies. A company that published a new AI policy yesterday might score differently today than it did last week.</w:t>
      </w:r>
    </w:p>
    <w:p>
      <w:pPr>
        <w:spacing w:after="160" w:before="60"/>
      </w:pPr>
    </w:p>
    <w:p>
      <w:pPr>
        <w:spacing w:after="80" w:before="80" w:line="330"/>
      </w:pPr>
      <w:r>
        <w:rPr>
          <w:rFonts w:ascii="Arial" w:cs="Arial" w:eastAsia="Arial" w:hAnsi="Arial"/>
          <w:color w:val="111111"/>
          <w:sz w:val="22"/>
          <w:szCs w:val="22"/>
        </w:rPr>
        <w:t xml:space="preserve">This variability is inherent to any tool relying on live web search as its data source. It is not fully solvable at the prototype stage. What the rubric does ensure is methodological consistency — the criteria never change, even when the evidence does. But for a production tool, web search would need to be replaced with structured, consistent data sources: SEC filings, LinkedIn job data, government contract databases such as SAM.gov, CVE vulnerability feeds, and company trust centers. That would produce stable scores across runs because the underlying data would not change between sessions.</w:t>
      </w:r>
    </w:p>
    <w:p>
      <w:pPr>
        <w:spacing w:after="160" w:before="60"/>
      </w:pPr>
    </w:p>
    <w:p>
      <w:pPr>
        <w:spacing w:after="80" w:before="80" w:line="330"/>
      </w:pPr>
      <w:r>
        <w:rPr>
          <w:rFonts w:ascii="Arial" w:cs="Arial" w:eastAsia="Arial" w:hAnsi="Arial"/>
          <w:color w:val="111111"/>
          <w:sz w:val="22"/>
          <w:szCs w:val="22"/>
        </w:rPr>
        <w:t xml:space="preserve">There is also a more fundamental limitation. A low Visible Governance Score does not prove weak governance. It proves limited external assurance. A company with genuinely strong internal controls and a culture of not publicizing them will score low. The confidence rating on each report is designed to communicate this — a Low confidence rating means the score may significantly understate what exists internally. OpenGov's zero score falls into this category.</w:t>
      </w:r>
    </w:p>
    <w:p>
      <w:pPr>
        <w:spacing w:after="160" w:before="60"/>
      </w:pPr>
    </w:p>
    <w:p>
      <w:pPr>
        <w:spacing w:after="80" w:before="80" w:line="330"/>
      </w:pPr>
      <w:r>
        <w:rPr>
          <w:rFonts w:ascii="Arial" w:cs="Arial" w:eastAsia="Arial" w:hAnsi="Arial"/>
          <w:color w:val="111111"/>
          <w:sz w:val="22"/>
          <w:szCs w:val="22"/>
        </w:rPr>
        <w:t xml:space="preserve">The tool is a pre-screen. It is not a verdict. Internal verification is always the necessary next step.</w:t>
      </w:r>
    </w:p>
    <w:p>
      <w:pPr>
        <w:spacing w:after="160" w:before="60"/>
      </w:pPr>
    </w:p>
    <w:p>
      <w:pPr>
        <w:spacing w:after="80" w:before="80" w:line="330"/>
      </w:pPr>
      <w:r>
        <w:rPr>
          <w:rFonts w:ascii="Arial" w:cs="Arial" w:eastAsia="Arial" w:hAnsi="Arial"/>
          <w:color w:val="111111"/>
          <w:sz w:val="22"/>
          <w:szCs w:val="22"/>
        </w:rPr>
        <w:t xml:space="preserve">For a production version of this tool, the upgrade path is clear: structured data pipelines over web search, a second scoring dimension that captures industry-standard certifications and compliance attestations separately from governance maturity, and a human review layer for paying customers who need audit-defensible output. The current prototype demonstrates the concept and methodology. Stable, scalable scoring requires a proper data infrastructure.</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9. Conclusion</w:t>
      </w:r>
    </w:p>
    <w:p>
      <w:pPr>
        <w:spacing w:after="160" w:before="60"/>
      </w:pPr>
    </w:p>
    <w:p>
      <w:pPr>
        <w:spacing w:after="80" w:before="80" w:line="330"/>
      </w:pPr>
      <w:r>
        <w:rPr>
          <w:rFonts w:ascii="Arial" w:cs="Arial" w:eastAsia="Arial" w:hAnsi="Arial"/>
          <w:color w:val="111111"/>
          <w:sz w:val="22"/>
          <w:szCs w:val="22"/>
        </w:rPr>
        <w:t xml:space="preserve">I started this project with a technique — Benford's Law — and realized quickly that the technique was already well-covered. What was not covered was the governance side of AI risk: how do organizations even know where their AI exposure is, before they have the internal infrastructure to audit it properly?</w:t>
      </w:r>
    </w:p>
    <w:p>
      <w:pPr>
        <w:spacing w:after="160" w:before="60"/>
      </w:pPr>
    </w:p>
    <w:p>
      <w:pPr>
        <w:spacing w:after="80" w:before="80" w:line="330"/>
      </w:pPr>
      <w:r>
        <w:rPr>
          <w:rFonts w:ascii="Arial" w:cs="Arial" w:eastAsia="Arial" w:hAnsi="Arial"/>
          <w:color w:val="111111"/>
          <w:sz w:val="22"/>
          <w:szCs w:val="22"/>
        </w:rPr>
        <w:t xml:space="preserve">AuditMind is my attempt at an answer. It converts external public signals into a structured audit starting point — two scores, a gap, findings formatted in audit language, department risk zones, audit questions, and an evidence request list that an auditor can take into an internal review the next day.</w:t>
      </w:r>
    </w:p>
    <w:p>
      <w:pPr>
        <w:spacing w:after="160" w:before="60"/>
      </w:pPr>
    </w:p>
    <w:p>
      <w:pPr>
        <w:spacing w:after="80" w:before="80" w:line="330"/>
      </w:pPr>
      <w:r>
        <w:rPr>
          <w:rFonts w:ascii="Arial" w:cs="Arial" w:eastAsia="Arial" w:hAnsi="Arial"/>
          <w:color w:val="111111"/>
          <w:sz w:val="22"/>
          <w:szCs w:val="22"/>
        </w:rPr>
        <w:t xml:space="preserve">The peer comparison across four government software companies produced findings that I think are genuinely worth paying attention to. CentralSquare deploys AI in emergency response systems for three out of four North American citizens with a visible governance score of 25. Accela is building AI into civic platforms for 300 million citizens with a visible governance score of 10. OpenGov scored zero on every governance criterion. Tyler, with its documented breach history and a gap of 50, is the most visible externally — and still falls in the High Risk band.</w:t>
      </w:r>
    </w:p>
    <w:p>
      <w:pPr>
        <w:spacing w:after="160" w:before="60"/>
      </w:pPr>
    </w:p>
    <w:p>
      <w:pPr>
        <w:spacing w:after="80" w:before="80" w:line="330"/>
      </w:pPr>
      <w:r>
        <w:rPr>
          <w:rFonts w:ascii="Arial" w:cs="Arial" w:eastAsia="Arial" w:hAnsi="Arial"/>
          <w:color w:val="111111"/>
          <w:sz w:val="22"/>
          <w:szCs w:val="22"/>
        </w:rPr>
        <w:t xml:space="preserve">Across this four-company sample, the pattern is consistent. AI adoption is moving faster than visible governance. Government clients who ask these vendors to demonstrate AI governance maturity before contract renewal will find limited publicly observable evidence that the question has been seriously addressed.</w:t>
      </w:r>
    </w:p>
    <w:p>
      <w:pPr>
        <w:spacing w:after="160" w:before="60"/>
      </w:pPr>
    </w:p>
    <w:p>
      <w:pPr>
        <w:spacing w:after="80" w:before="80" w:line="330"/>
      </w:pPr>
      <w:r>
        <w:rPr>
          <w:rFonts w:ascii="Arial" w:cs="Arial" w:eastAsia="Arial" w:hAnsi="Arial"/>
          <w:color w:val="111111"/>
          <w:sz w:val="22"/>
          <w:szCs w:val="22"/>
        </w:rPr>
        <w:t xml:space="preserve">That gap is where this tool is designed to start the conversation.</w:t>
      </w:r>
    </w:p>
    <w:p>
      <w:pPr>
        <w:spacing w:after="160" w:before="60"/>
      </w:pPr>
    </w:p>
    <w:p>
      <w:pPr>
        <w:pBdr>
          <w:left w:val="single" w:color="2E6DA4" w:sz="16" w:space="10"/>
        </w:pBdr>
        <w:spacing w:after="200" w:before="200" w:line="340"/>
        <w:ind w:left="800" w:right="800"/>
      </w:pPr>
      <w:r>
        <w:rPr>
          <w:rFonts w:ascii="Arial" w:cs="Arial" w:eastAsia="Arial" w:hAnsi="Arial"/>
          <w:i/>
          <w:iCs/>
          <w:color w:val="1B2A4A"/>
          <w:sz w:val="24"/>
          <w:szCs w:val="24"/>
        </w:rPr>
        <w:t xml:space="preserve">AuditMind converts external AI risk signals into a practical internal audit starting point. It tells you where to look. The audit tells you what is actually there.</w:t>
      </w:r>
    </w:p>
    <w:p>
      <w:pPr>
        <w:spacing w:after="160" w:before="240"/>
      </w:pPr>
    </w:p>
    <w:p>
      <w:pPr>
        <w:pBdr>
          <w:bottom w:val="single" w:color="DDDDDD" w:sz="4" w:space="1"/>
        </w:pBdr>
        <w:spacing w:after="160" w:before="160" w:line="276"/>
      </w:pPr>
    </w:p>
    <w:p>
      <w:pPr>
        <w:pBdr>
          <w:bottom w:val="single" w:color="2E6DA4" w:sz="8" w:space="4"/>
        </w:pBdr>
        <w:spacing w:after="160" w:before="400" w:line="276"/>
      </w:pPr>
      <w:r>
        <w:rPr>
          <w:rFonts w:ascii="Arial" w:cs="Arial" w:eastAsia="Arial" w:hAnsi="Arial"/>
          <w:b/>
          <w:bCs/>
          <w:color w:val="1B2A4A"/>
          <w:sz w:val="34"/>
          <w:szCs w:val="34"/>
        </w:rPr>
        <w:t xml:space="preserve">References</w:t>
      </w:r>
    </w:p>
    <w:p>
      <w:pPr>
        <w:spacing w:after="160" w:before="60"/>
      </w:pPr>
    </w:p>
    <w:p>
      <w:pPr>
        <w:spacing w:after="80" w:before="80" w:line="330"/>
      </w:pPr>
      <w:r>
        <w:rPr>
          <w:rFonts w:ascii="Arial" w:cs="Arial" w:eastAsia="Arial" w:hAnsi="Arial"/>
          <w:color w:val="111111"/>
          <w:sz w:val="22"/>
          <w:szCs w:val="22"/>
        </w:rPr>
        <w:t xml:space="preserve">Institute of Internal Auditors. (2023). Global Perspectives and Insights: Artificial Intelligence and Internal Audit. IIA Research Foundation.</w:t>
      </w:r>
    </w:p>
    <w:p>
      <w:pPr>
        <w:spacing w:after="160" w:before="40"/>
      </w:pPr>
    </w:p>
    <w:p>
      <w:pPr>
        <w:spacing w:after="80" w:before="80" w:line="330"/>
      </w:pPr>
      <w:r>
        <w:rPr>
          <w:rFonts w:ascii="Arial" w:cs="Arial" w:eastAsia="Arial" w:hAnsi="Arial"/>
          <w:color w:val="111111"/>
          <w:sz w:val="22"/>
          <w:szCs w:val="22"/>
        </w:rPr>
        <w:t xml:space="preserve">ISACA. (2024). COBIT 2019 Framework: Governance and Management Objectives. ISACA.</w:t>
      </w:r>
    </w:p>
    <w:p>
      <w:pPr>
        <w:spacing w:after="160" w:before="40"/>
      </w:pPr>
    </w:p>
    <w:p>
      <w:pPr>
        <w:spacing w:after="80" w:before="80" w:line="330"/>
      </w:pPr>
      <w:r>
        <w:rPr>
          <w:rFonts w:ascii="Arial" w:cs="Arial" w:eastAsia="Arial" w:hAnsi="Arial"/>
          <w:color w:val="111111"/>
          <w:sz w:val="22"/>
          <w:szCs w:val="22"/>
        </w:rPr>
        <w:t xml:space="preserve">European Parliament. (2024). Regulation (EU) 2024/1689 — Artificial Intelligence Act. Official Journal of the European Union.</w:t>
      </w:r>
    </w:p>
    <w:p>
      <w:pPr>
        <w:spacing w:after="160" w:before="40"/>
      </w:pPr>
    </w:p>
    <w:p>
      <w:pPr>
        <w:spacing w:after="80" w:before="80" w:line="330"/>
      </w:pPr>
      <w:r>
        <w:rPr>
          <w:rFonts w:ascii="Arial" w:cs="Arial" w:eastAsia="Arial" w:hAnsi="Arial"/>
          <w:color w:val="111111"/>
          <w:sz w:val="22"/>
          <w:szCs w:val="22"/>
        </w:rPr>
        <w:t xml:space="preserve">Criminal Justice Information Services Division. (2023). CJIS Security Policy Version 5.9.2. Federal Bureau of Investigation.</w:t>
      </w:r>
    </w:p>
    <w:p>
      <w:pPr>
        <w:spacing w:after="160" w:before="40"/>
      </w:pPr>
    </w:p>
    <w:p>
      <w:pPr>
        <w:spacing w:after="80" w:before="80" w:line="330"/>
      </w:pPr>
      <w:r>
        <w:rPr>
          <w:rFonts w:ascii="Arial" w:cs="Arial" w:eastAsia="Arial" w:hAnsi="Arial"/>
          <w:color w:val="111111"/>
          <w:sz w:val="22"/>
          <w:szCs w:val="22"/>
        </w:rPr>
        <w:t xml:space="preserve">Cyberhaven. (2024). The State of Shadow AI in the Enterprise: Q1 2024 Data Report. Cyberhaven Inc.</w:t>
      </w:r>
    </w:p>
    <w:p>
      <w:pPr>
        <w:spacing w:after="160" w:before="40"/>
      </w:pPr>
    </w:p>
    <w:p>
      <w:pPr>
        <w:spacing w:after="80" w:before="80" w:line="330"/>
      </w:pPr>
      <w:r>
        <w:rPr>
          <w:rFonts w:ascii="Arial" w:cs="Arial" w:eastAsia="Arial" w:hAnsi="Arial"/>
          <w:color w:val="111111"/>
          <w:sz w:val="22"/>
          <w:szCs w:val="22"/>
        </w:rPr>
        <w:t xml:space="preserve">Tyler Technologies. (2024). Annual Report 2024. Tyler Technologies Inc.</w:t>
      </w:r>
    </w:p>
    <w:p>
      <w:pPr>
        <w:spacing w:after="160" w:before="40"/>
      </w:pPr>
    </w:p>
    <w:p>
      <w:pPr>
        <w:spacing w:after="80" w:before="80" w:line="330"/>
      </w:pPr>
      <w:r>
        <w:rPr>
          <w:rFonts w:ascii="Arial" w:cs="Arial" w:eastAsia="Arial" w:hAnsi="Arial"/>
          <w:color w:val="111111"/>
          <w:sz w:val="22"/>
          <w:szCs w:val="22"/>
        </w:rPr>
        <w:t xml:space="preserve">Tyler Technologies. (2020, September 26). Statement regarding cybersecurity incident. Tyler Technologies Inc.</w:t>
      </w:r>
    </w:p>
    <w:p>
      <w:pPr>
        <w:spacing w:after="160" w:before="40"/>
      </w:pPr>
    </w:p>
    <w:p>
      <w:pPr>
        <w:spacing w:after="80" w:before="80" w:line="330"/>
      </w:pPr>
      <w:r>
        <w:rPr>
          <w:rFonts w:ascii="Arial" w:cs="Arial" w:eastAsia="Arial" w:hAnsi="Arial"/>
          <w:color w:val="111111"/>
          <w:sz w:val="22"/>
          <w:szCs w:val="22"/>
        </w:rPr>
        <w:t xml:space="preserve">MRSC. (2026). AI Guidance for Local Governments: Procurement and Risk Assessment. Municipal Research and Services Center.</w:t>
      </w:r>
    </w:p>
    <w:p>
      <w:pPr>
        <w:spacing w:after="160" w:before="240"/>
      </w:pPr>
    </w:p>
    <w:p>
      <w:pPr>
        <w:pBdr>
          <w:bottom w:val="single" w:color="DDDDDD" w:sz="4" w:space="1"/>
        </w:pBdr>
        <w:spacing w:after="160" w:before="160" w:line="276"/>
      </w:pPr>
    </w:p>
    <w:p>
      <w:r>
        <w:br w:type="page"/>
      </w:r>
    </w:p>
    <w:p>
      <w:pPr>
        <w:pBdr>
          <w:bottom w:val="single" w:color="2E6DA4" w:sz="8" w:space="4"/>
        </w:pBdr>
        <w:spacing w:after="160" w:before="400" w:line="276"/>
      </w:pPr>
      <w:r>
        <w:rPr>
          <w:rFonts w:ascii="Arial" w:cs="Arial" w:eastAsia="Arial" w:hAnsi="Arial"/>
          <w:b/>
          <w:bCs/>
          <w:color w:val="1B2A4A"/>
          <w:sz w:val="34"/>
          <w:szCs w:val="34"/>
        </w:rPr>
        <w:t xml:space="preserve">Appendices</w:t>
      </w:r>
    </w:p>
    <w:p>
      <w:pPr>
        <w:spacing w:after="160" w:before="60"/>
      </w:pPr>
    </w:p>
    <w:p>
      <w:pPr>
        <w:spacing w:after="80" w:before="80" w:line="330"/>
      </w:pPr>
      <w:r>
        <w:rPr>
          <w:rFonts w:ascii="Arial" w:cs="Arial" w:eastAsia="Arial" w:hAnsi="Arial"/>
          <w:color w:val="111111"/>
          <w:sz w:val="22"/>
          <w:szCs w:val="22"/>
        </w:rPr>
        <w:t xml:space="preserve">The following appendices contain the full AuditMind Shadow AI Risk Assessment reports for each company assessed in this case study. Each report was generated on April 27, 2026, using publicly available information. Reports include the full scoring breakdown showing exactly how each point was awarded, executive summary, audit findings with confidence ratings, recommended controls, department risk zones, audit questions, and an evidence request list formatted for internal audit use.</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40"/>
        <w:gridCol w:w="1440"/>
        <w:gridCol w:w="1280"/>
        <w:gridCol w:w="12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Appendix</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Company</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Exposure</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Visible Gov.</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Level</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r>
              <w:rPr>
                <w:rFonts w:ascii="Arial" w:cs="Arial" w:eastAsia="Arial" w:hAnsi="Arial"/>
                <w:b/>
                <w:bCs/>
                <w:sz w:val="20"/>
                <w:szCs w:val="20"/>
              </w:rPr>
              <w:t xml:space="preserve">A</w:t>
            </w:r>
          </w:p>
        </w:tc>
        <w:tc>
          <w:tcPr>
            <w:tcW w:type="dxa" w:w="28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r>
              <w:rPr>
                <w:rFonts w:ascii="Arial" w:cs="Arial" w:eastAsia="Arial" w:hAnsi="Arial"/>
                <w:sz w:val="20"/>
                <w:szCs w:val="20"/>
              </w:rPr>
              <w:t xml:space="preserve">Tyler Technologies</w:t>
            </w:r>
          </w:p>
        </w:tc>
        <w:tc>
          <w:tcPr>
            <w:tcW w:type="dxa" w:w="144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w:t>
            </w:r>
          </w:p>
        </w:tc>
        <w:tc>
          <w:tcPr>
            <w:tcW w:type="dxa" w:w="144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w:t>
            </w:r>
          </w:p>
        </w:tc>
        <w:tc>
          <w:tcPr>
            <w:tcW w:type="dxa" w:w="128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sz w:val="20"/>
                <w:szCs w:val="20"/>
              </w:rPr>
              <w:t xml:space="preserve">50</w:t>
            </w:r>
          </w:p>
        </w:tc>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D4850A"/>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b/>
                <w:bCs/>
                <w:sz w:val="20"/>
                <w:szCs w:val="20"/>
              </w:rPr>
              <w:t xml:space="preserve">B</w:t>
            </w:r>
          </w:p>
        </w:tc>
        <w:tc>
          <w:tcPr>
            <w:tcW w:type="dxa" w:w="28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CentralSquare Technologies</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12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sz w:val="20"/>
                <w:szCs w:val="20"/>
              </w:rPr>
              <w:t xml:space="preserve">65</w:t>
            </w:r>
          </w:p>
        </w:tc>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r>
      <w:tr>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b/>
                <w:bCs/>
                <w:sz w:val="20"/>
                <w:szCs w:val="20"/>
              </w:rPr>
              <w:t xml:space="preserve">C</w:t>
            </w:r>
          </w:p>
        </w:tc>
        <w:tc>
          <w:tcPr>
            <w:tcW w:type="dxa" w:w="28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Accela</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2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sz w:val="20"/>
                <w:szCs w:val="20"/>
              </w:rPr>
              <w:t xml:space="preserve">75</w:t>
            </w:r>
          </w:p>
        </w:tc>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r>
      <w:tr>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b/>
                <w:bCs/>
                <w:sz w:val="20"/>
                <w:szCs w:val="20"/>
              </w:rPr>
              <w:t xml:space="preserve">D</w:t>
            </w:r>
          </w:p>
        </w:tc>
        <w:tc>
          <w:tcPr>
            <w:tcW w:type="dxa" w:w="28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OpenGov</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70</w:t>
            </w:r>
          </w:p>
        </w:tc>
        <w:tc>
          <w:tcPr>
            <w:tcW w:type="dxa" w:w="14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2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sz w:val="20"/>
                <w:szCs w:val="20"/>
              </w:rPr>
              <w:t xml:space="preserve">70</w:t>
            </w:r>
          </w:p>
        </w:tc>
        <w:tc>
          <w:tcPr>
            <w:tcW w:type="dxa" w:w="120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r>
    </w:tbl>
    <w:p>
      <w:pPr>
        <w:spacing w:after="160" w:before="80"/>
      </w:pPr>
    </w:p>
    <w:p>
      <w:pPr>
        <w:spacing w:after="80" w:before="80" w:line="330"/>
      </w:pPr>
      <w:r>
        <w:rPr>
          <w:rFonts w:ascii="Arial" w:cs="Arial" w:eastAsia="Arial" w:hAnsi="Arial"/>
          <w:i/>
          <w:iCs/>
          <w:color w:val="666666"/>
          <w:sz w:val="22"/>
          <w:szCs w:val="22"/>
        </w:rPr>
        <w:t xml:space="preserve">* OpenGov assessment carried Low confidence due to limited public information. Score may understate internal governance maturity.</w:t>
      </w:r>
    </w:p>
    <w:p>
      <w:pPr>
        <w:spacing w:after="160" w:before="60"/>
      </w:pPr>
    </w:p>
    <w:p>
      <w:pPr>
        <w:spacing w:after="80" w:before="80" w:line="330"/>
      </w:pPr>
      <w:r>
        <w:rPr>
          <w:rFonts w:ascii="Arial" w:cs="Arial" w:eastAsia="Arial" w:hAnsi="Arial"/>
          <w:i/>
          <w:iCs/>
          <w:color w:val="666666"/>
          <w:sz w:val="22"/>
          <w:szCs w:val="22"/>
        </w:rPr>
        <w:t xml:space="preserve">Note on score variability: AuditMind scores represent a point-in-time assessment based on publicly available information retrieved at the time of the scan. Results may vary between runs as web search results change. The scoring rubric criteria remain fixed across all assessments. This variability is itself an argument for why internal audit verification is essential — external signals alone cannot definitively assess governance maturity.</w:t>
      </w:r>
    </w:p>
    <w:p>
      <w:pPr>
        <w:spacing w:after="160" w:before="60"/>
      </w:pPr>
    </w:p>
    <w:p>
      <w:pPr>
        <w:spacing w:after="80" w:before="80" w:line="330"/>
      </w:pPr>
      <w:r>
        <w:rPr>
          <w:rFonts w:ascii="Arial" w:cs="Arial" w:eastAsia="Arial" w:hAnsi="Arial"/>
          <w:i/>
          <w:iCs/>
          <w:color w:val="666666"/>
          <w:sz w:val="22"/>
          <w:szCs w:val="22"/>
        </w:rPr>
        <w:t xml:space="preserve">Full PDF reports are attached separately: AuditMind_Tyler_Technologies.pdf, AuditMind_CentralSquare.pdf, AuditMind_Accela.pdf, AuditMind_OpenGov.pdf</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AuditMind  |  Shadow AI Risk Assessment  |  Data Analytics in Business Accounting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2026-04-28T02:47:09.044Z</dcterms:created>
  <dcterms:modified xsi:type="dcterms:W3CDTF">2026-04-28T02:47:09.045Z</dcterms:modified>
</cp:coreProperties>
</file>

<file path=docProps/custom.xml><?xml version="1.0" encoding="utf-8"?>
<Properties xmlns="http://schemas.openxmlformats.org/officeDocument/2006/custom-properties" xmlns:vt="http://schemas.openxmlformats.org/officeDocument/2006/docPropsVTypes"/>
</file>