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A3C5E"/>
          <w:sz w:val="72"/>
          <w:szCs w:val="72"/>
        </w:rPr>
        <w:t xml:space="preserve">GLIMPSE</w:t>
      </w:r>
    </w:p>
    <w:p>
      <w:pPr>
        <w:spacing w:before="0" w:after="80"/>
        <w:jc w:val="center"/>
      </w:pPr>
      <w:r>
        <w:rPr>
          <w:rFonts w:ascii="Arial" w:cs="Arial" w:eastAsia="Arial" w:hAnsi="Arial"/>
          <w:color w:val="2E86C1"/>
          <w:sz w:val="30"/>
          <w:szCs w:val="30"/>
        </w:rPr>
        <w:t xml:space="preserve">Business Model Overview &amp; Risk Register</w:t>
      </w:r>
    </w:p>
    <w:p>
      <w:pPr>
        <w:spacing w:before="0" w:after="480"/>
        <w:jc w:val="center"/>
      </w:pPr>
      <w:r>
        <w:rPr>
          <w:rFonts w:ascii="Arial" w:cs="Arial" w:eastAsia="Arial" w:hAnsi="Arial"/>
          <w:i/>
          <w:iCs/>
          <w:color w:val="555555"/>
          <w:sz w:val="22"/>
          <w:szCs w:val="22"/>
        </w:rPr>
        <w:t xml:space="preserve">Generosity is contagious — real impact, real connections, permanent on-chain proof</w:t>
      </w:r>
    </w:p>
    <w:p>
      <w:pPr>
        <w:spacing w:before="80" w:after="80"/>
      </w:pPr>
      <w:r>
        <w:t xml:space="preserve"/>
      </w:r>
    </w:p>
    <w:p>
      <w:pPr>
        <w:spacing w:before="80" w:after="80"/>
      </w:pPr>
      <w:r>
        <w:t xml:space="preserve"/>
      </w:r>
    </w:p>
    <w:p>
      <w:pPr>
        <w:shd w:fill="1A3C5E" w:val="clear"/>
        <w:spacing w:before="400" w:after="200"/>
      </w:pPr>
      <w:r>
        <w:rPr>
          <w:rFonts w:ascii="Arial" w:cs="Arial" w:eastAsia="Arial" w:hAnsi="Arial"/>
          <w:b/>
          <w:bCs/>
          <w:color w:val="FFFFFF"/>
          <w:sz w:val="26"/>
          <w:szCs w:val="26"/>
        </w:rPr>
        <w:t xml:space="preserve">  SECTION 1 — ENTITY STRUCTURE</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Two Entities, One Mission</w:t>
      </w:r>
    </w:p>
    <w:p>
      <w:pPr>
        <w:spacing w:before="60" w:after="60"/>
      </w:pPr>
      <w:r>
        <w:rPr>
          <w:rFonts w:ascii="Arial" w:cs="Arial" w:eastAsia="Arial" w:hAnsi="Arial"/>
          <w:sz w:val="22"/>
          <w:szCs w:val="22"/>
        </w:rPr>
        <w:t xml:space="preserve">Glimpse operates through two legally separate but mission-aligned entities: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80"/>
            </w:pPr>
            <w:r>
              <w:rPr>
                <w:rFonts w:ascii="Arial" w:cs="Arial" w:eastAsia="Arial" w:hAnsi="Arial"/>
                <w:b/>
                <w:bCs/>
                <w:color w:val="1A3C5E"/>
                <w:sz w:val="22"/>
                <w:szCs w:val="22"/>
              </w:rPr>
              <w:t xml:space="preserve">GLIMPSE FOUNDATION</w:t>
            </w:r>
          </w:p>
          <w:p>
            <w:pPr>
              <w:spacing w:after="40"/>
            </w:pPr>
            <w:r>
              <w:rPr>
                <w:rFonts w:ascii="Arial" w:cs="Arial" w:eastAsia="Arial" w:hAnsi="Arial"/>
                <w:i/>
                <w:iCs/>
                <w:color w:val="555555"/>
                <w:sz w:val="20"/>
                <w:szCs w:val="20"/>
              </w:rPr>
              <w:t xml:space="preserve">501(c)(3) Nonprofit</w:t>
            </w:r>
          </w:p>
          <w:p>
            <w:pPr>
              <w:pStyle w:val="ListParagraph"/>
              <w:numPr>
                <w:ilvl w:val="0"/>
                <w:numId w:val="2"/>
              </w:numPr>
              <w:spacing w:before="40" w:after="20"/>
            </w:pPr>
            <w:r>
              <w:rPr>
                <w:rFonts w:ascii="Arial" w:cs="Arial" w:eastAsia="Arial" w:hAnsi="Arial"/>
                <w:sz w:val="20"/>
                <w:szCs w:val="20"/>
              </w:rPr>
              <w:t xml:space="preserve">Receives and routes 100% of donations</w:t>
            </w:r>
          </w:p>
          <w:p>
            <w:pPr>
              <w:pStyle w:val="ListParagraph"/>
              <w:numPr>
                <w:ilvl w:val="0"/>
                <w:numId w:val="2"/>
              </w:numPr>
              <w:spacing w:before="20" w:after="20"/>
            </w:pPr>
            <w:r>
              <w:rPr>
                <w:rFonts w:ascii="Arial" w:cs="Arial" w:eastAsia="Arial" w:hAnsi="Arial"/>
                <w:sz w:val="20"/>
                <w:szCs w:val="20"/>
              </w:rPr>
              <w:t xml:space="preserve">Vets recipients — no prior donor connection</w:t>
            </w:r>
          </w:p>
          <w:p>
            <w:pPr>
              <w:pStyle w:val="ListParagraph"/>
              <w:numPr>
                <w:ilvl w:val="0"/>
                <w:numId w:val="2"/>
              </w:numPr>
              <w:spacing w:before="20" w:after="20"/>
            </w:pPr>
            <w:r>
              <w:rPr>
                <w:rFonts w:ascii="Arial" w:cs="Arial" w:eastAsia="Arial" w:hAnsi="Arial"/>
                <w:sz w:val="20"/>
                <w:szCs w:val="20"/>
              </w:rPr>
              <w:t xml:space="preserve">Issues on-chain receipts for all transactions</w:t>
            </w:r>
          </w:p>
          <w:p>
            <w:pPr>
              <w:pStyle w:val="ListParagraph"/>
              <w:numPr>
                <w:ilvl w:val="0"/>
                <w:numId w:val="2"/>
              </w:numPr>
              <w:spacing w:before="20" w:after="20"/>
            </w:pPr>
            <w:r>
              <w:rPr>
                <w:rFonts w:ascii="Arial" w:cs="Arial" w:eastAsia="Arial" w:hAnsi="Arial"/>
                <w:sz w:val="20"/>
                <w:szCs w:val="20"/>
              </w:rPr>
              <w:t xml:space="preserve">Tax-deductible status pending 501(c)(3) approval — donors notified upon approval</w:t>
            </w:r>
          </w:p>
          <w:p>
            <w:pPr>
              <w:pStyle w:val="ListParagraph"/>
              <w:numPr>
                <w:ilvl w:val="0"/>
                <w:numId w:val="2"/>
              </w:numPr>
              <w:spacing w:before="20" w:after="40"/>
            </w:pPr>
            <w:r>
              <w:rPr>
                <w:rFonts w:ascii="Arial" w:cs="Arial" w:eastAsia="Arial" w:hAnsi="Arial"/>
                <w:sz w:val="20"/>
                <w:szCs w:val="20"/>
              </w:rPr>
              <w:t xml:space="preserve">Operates lean — zero fee to donors</w:t>
            </w:r>
          </w:p>
        </w:tc>
        <w:tc>
          <w:tcPr>
            <w:tcW w:type="dxa" w:w="4680"/>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60"/>
            </w:tcMar>
          </w:tcPr>
          <w:p>
            <w:pPr>
              <w:spacing w:after="80"/>
            </w:pPr>
            <w:r>
              <w:rPr>
                <w:rFonts w:ascii="Arial" w:cs="Arial" w:eastAsia="Arial" w:hAnsi="Arial"/>
                <w:b/>
                <w:bCs/>
                <w:color w:val="1E8449"/>
                <w:sz w:val="22"/>
                <w:szCs w:val="22"/>
              </w:rPr>
              <w:t xml:space="preserve">GLIMPSE PBC</w:t>
            </w:r>
          </w:p>
          <w:p>
            <w:pPr>
              <w:spacing w:after="40"/>
            </w:pPr>
            <w:r>
              <w:rPr>
                <w:rFonts w:ascii="Arial" w:cs="Arial" w:eastAsia="Arial" w:hAnsi="Arial"/>
                <w:i/>
                <w:iCs/>
                <w:color w:val="555555"/>
                <w:sz w:val="20"/>
                <w:szCs w:val="20"/>
              </w:rPr>
              <w:t xml:space="preserve">Public Benefit Corporation (For-Profit)</w:t>
            </w:r>
          </w:p>
          <w:p>
            <w:pPr>
              <w:pStyle w:val="ListParagraph"/>
              <w:numPr>
                <w:ilvl w:val="0"/>
                <w:numId w:val="2"/>
              </w:numPr>
              <w:spacing w:before="40" w:after="20"/>
            </w:pPr>
            <w:r>
              <w:rPr>
                <w:rFonts w:ascii="Arial" w:cs="Arial" w:eastAsia="Arial" w:hAnsi="Arial"/>
                <w:sz w:val="20"/>
                <w:szCs w:val="20"/>
              </w:rPr>
              <w:t xml:space="preserve">Builds and owns the app and technology</w:t>
            </w:r>
          </w:p>
          <w:p>
            <w:pPr>
              <w:pStyle w:val="ListParagraph"/>
              <w:numPr>
                <w:ilvl w:val="0"/>
                <w:numId w:val="2"/>
              </w:numPr>
              <w:spacing w:before="20" w:after="20"/>
            </w:pPr>
            <w:r>
              <w:rPr>
                <w:rFonts w:ascii="Arial" w:cs="Arial" w:eastAsia="Arial" w:hAnsi="Arial"/>
                <w:sz w:val="20"/>
                <w:szCs w:val="20"/>
              </w:rPr>
              <w:t xml:space="preserve">Stated public benefit = supporting the Foundation</w:t>
            </w:r>
          </w:p>
          <w:p>
            <w:pPr>
              <w:pStyle w:val="ListParagraph"/>
              <w:numPr>
                <w:ilvl w:val="0"/>
                <w:numId w:val="2"/>
              </w:numPr>
              <w:spacing w:before="20" w:after="20"/>
            </w:pPr>
            <w:r>
              <w:rPr>
                <w:rFonts w:ascii="Arial" w:cs="Arial" w:eastAsia="Arial" w:hAnsi="Arial"/>
                <w:sz w:val="20"/>
                <w:szCs w:val="20"/>
              </w:rPr>
              <w:t xml:space="preserve">Monetizes via city partner / sponsor model</w:t>
            </w:r>
          </w:p>
          <w:p>
            <w:pPr>
              <w:pStyle w:val="ListParagraph"/>
              <w:numPr>
                <w:ilvl w:val="0"/>
                <w:numId w:val="2"/>
              </w:numPr>
              <w:spacing w:before="20" w:after="20"/>
            </w:pPr>
            <w:r>
              <w:rPr>
                <w:rFonts w:ascii="Arial" w:cs="Arial" w:eastAsia="Arial" w:hAnsi="Arial"/>
                <w:sz w:val="20"/>
                <w:szCs w:val="20"/>
              </w:rPr>
              <w:t xml:space="preserve">Can legally donate to Foundation</w:t>
            </w:r>
          </w:p>
          <w:p>
            <w:pPr>
              <w:pStyle w:val="ListParagraph"/>
              <w:numPr>
                <w:ilvl w:val="0"/>
                <w:numId w:val="2"/>
              </w:numPr>
              <w:spacing w:before="20" w:after="40"/>
            </w:pPr>
            <w:r>
              <w:rPr>
                <w:rFonts w:ascii="Arial" w:cs="Arial" w:eastAsia="Arial" w:hAnsi="Arial"/>
                <w:sz w:val="20"/>
                <w:szCs w:val="20"/>
              </w:rPr>
              <w:t xml:space="preserve">Executes token buybacks from revenue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C5E"/>
                <w:sz w:val="20"/>
                <w:szCs w:val="20"/>
              </w:rPr>
              <w:t xml:space="preserve">KEY</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These entities operate independently with arm's-length contracts. The PBC cannot control the Foundation. The Foundation cannot distribute profits to the PBC. This separation is load-bearing for both tax-exempt status and regulatory compliance.</w:t>
            </w:r>
          </w:p>
        </w:tc>
      </w:tr>
    </w:tbl>
    <w:p>
      <w:pPr>
        <w:spacing w:before="80" w:after="80"/>
      </w:pPr>
      <w:r>
        <w:t xml:space="preserve"/>
      </w:r>
    </w:p>
    <w:p>
      <w:pPr>
        <w:pStyle w:val="Heading2"/>
        <w:spacing w:before="280" w:after="80"/>
      </w:pPr>
      <w:r>
        <w:rPr>
          <w:rFonts w:ascii="Arial" w:cs="Arial" w:eastAsia="Arial" w:hAnsi="Arial"/>
          <w:b/>
          <w:bCs/>
          <w:color w:val="2E86C1"/>
          <w:sz w:val="24"/>
          <w:szCs w:val="24"/>
        </w:rPr>
        <w:t xml:space="preserve">Filing Order</w:t>
      </w:r>
    </w:p>
    <w:p>
      <w:pPr>
        <w:pStyle w:val="ListParagraph"/>
        <w:numPr>
          <w:ilvl w:val="0"/>
          <w:numId w:val="2"/>
        </w:numPr>
        <w:spacing w:before="40" w:after="40"/>
      </w:pPr>
      <w:r>
        <w:rPr>
          <w:rFonts w:ascii="Arial" w:cs="Arial" w:eastAsia="Arial" w:hAnsi="Arial"/>
          <w:sz w:val="22"/>
          <w:szCs w:val="22"/>
        </w:rPr>
        <w:t xml:space="preserve">File Glimpse PBC in Delaware first — this is your operating entity, bank account, and contract signatory</w:t>
      </w:r>
    </w:p>
    <w:p>
      <w:pPr>
        <w:pStyle w:val="ListParagraph"/>
        <w:numPr>
          <w:ilvl w:val="0"/>
          <w:numId w:val="2"/>
        </w:numPr>
        <w:spacing w:before="40" w:after="40"/>
      </w:pPr>
      <w:r>
        <w:rPr>
          <w:rFonts w:ascii="Arial" w:cs="Arial" w:eastAsia="Arial" w:hAnsi="Arial"/>
          <w:sz w:val="22"/>
          <w:szCs w:val="22"/>
        </w:rPr>
        <w:t xml:space="preserve">File Glimpse Foundation as a 501(c)(3) in parallel — budget 3–6 months for IRS approval</w:t>
      </w:r>
    </w:p>
    <w:p>
      <w:pPr>
        <w:pStyle w:val="ListParagraph"/>
        <w:numPr>
          <w:ilvl w:val="0"/>
          <w:numId w:val="2"/>
        </w:numPr>
        <w:spacing w:before="40" w:after="40"/>
      </w:pPr>
      <w:r>
        <w:rPr>
          <w:rFonts w:ascii="Arial" w:cs="Arial" w:eastAsia="Arial" w:hAnsi="Arial"/>
          <w:sz w:val="22"/>
          <w:szCs w:val="22"/>
        </w:rPr>
        <w:t xml:space="preserve">Launch directly — Iowa requires no charitable solicitation registration. Accept donations immediately. Clearly state tax-deductibility is pending 501(c)(3) approval</w:t>
      </w:r>
    </w:p>
    <w:p>
      <w:pPr>
        <w:pStyle w:val="ListParagraph"/>
        <w:numPr>
          <w:ilvl w:val="0"/>
          <w:numId w:val="2"/>
        </w:numPr>
        <w:spacing w:before="40" w:after="40"/>
      </w:pPr>
      <w:r>
        <w:rPr>
          <w:rFonts w:ascii="Arial" w:cs="Arial" w:eastAsia="Arial" w:hAnsi="Arial"/>
          <w:sz w:val="22"/>
          <w:szCs w:val="22"/>
        </w:rPr>
        <w:t xml:space="preserve">Establish contractual relationship between entities once both are filed</w:t>
      </w:r>
    </w:p>
    <w:p>
      <w:pPr>
        <w:spacing w:before="80" w:after="80"/>
      </w:pPr>
      <w:r>
        <w:t xml:space="preserve"/>
      </w:r>
    </w:p>
    <w:p>
      <w:pPr>
        <w:shd w:fill="1A3C5E" w:val="clear"/>
        <w:spacing w:before="400" w:after="200"/>
      </w:pPr>
      <w:r>
        <w:rPr>
          <w:rFonts w:ascii="Arial" w:cs="Arial" w:eastAsia="Arial" w:hAnsi="Arial"/>
          <w:b/>
          <w:bCs/>
          <w:color w:val="FFFFFF"/>
          <w:sz w:val="26"/>
          <w:szCs w:val="26"/>
        </w:rPr>
        <w:t xml:space="preserve">  SECTION 2 — REVENUE MODEL</w:t>
      </w:r>
    </w:p>
    <w:p>
      <w:pPr>
        <w:spacing w:before="80" w:after="80"/>
      </w:pPr>
      <w:r>
        <w:t xml:space="preserve"/>
      </w:r>
    </w:p>
    <w:p>
      <w:pPr>
        <w:pBdr>
          <w:bottom w:val="single" w:sz="6" w:space="4" w:color="2E75B6"/>
        </w:pBdr>
        <w:spacing w:before="360" w:after="120"/>
      </w:pPr>
      <w:r>
        <w:rPr>
          <w:rFonts w:ascii="Arial" w:cs="Arial" w:eastAsia="Arial" w:hAnsi="Arial"/>
          <w:b/>
          <w:bCs/>
          <w:color w:val="1A3C5E"/>
          <w:sz w:val="28"/>
          <w:szCs w:val="28"/>
        </w:rPr>
        <w:t>The North Star</w:t>
      </w:r>
    </w:p>
    <w:p>
      <w:pPr>
        <w:spacing w:before="60" w:after="120"/>
      </w:pPr>
      <w:r>
        <w:rPr>
          <w:rFonts w:ascii="Arial" w:cs="Arial" w:eastAsia="Arial" w:hAnsi="Arial"/>
          <w:b/>
          <w:color w:val="1A3C5E"/>
          <w:sz w:val="24"/>
          <w:szCs w:val="24"/>
        </w:rPr>
        <w:t xml:space="preserve">Glimpse is building a global network of hubs — creator-operators contracted like athletes, compensated by performance — who identify recipients, move donor dollars on-chain, and generate permanent proof of impact. Speed, trust, and on-chain record. Every time. Everywhere. The infrastructure that makes generosity as efficient as commerce.</w:t>
      </w:r>
    </w:p>
    <w:p>
      <w:pPr>
        <w:spacing w:before="60" w:after="60"/>
      </w:pPr>
      <w:r>
        <w:rPr>
          <w:rFonts w:ascii="Arial" w:cs="Arial" w:eastAsia="Arial" w:hAnsi="Arial"/>
          <w:sz w:val="22"/>
          <w:szCs w:val="22"/>
        </w:rPr>
        <w:t xml:space="preserve">This is only possible because of </w:t>
      </w:r>
      <w:r>
        <w:rPr>
          <w:rFonts w:ascii="Arial" w:cs="Arial" w:eastAsia="Arial" w:hAnsi="Arial"/>
          <w:b/>
          <w:sz w:val="22"/>
          <w:szCs w:val="22"/>
        </w:rPr>
        <w:t>Solana</w:t>
      </w:r>
      <w:r>
        <w:rPr>
          <w:rFonts w:ascii="Arial" w:cs="Arial" w:eastAsia="Arial" w:hAnsi="Arial"/>
          <w:sz w:val="22"/>
          <w:szCs w:val="22"/>
        </w:rPr>
        <w:t xml:space="preserve"> — the only chain fast enough and cheap enough to make micro-donations viable at global scale — and </w:t>
      </w:r>
      <w:r>
        <w:rPr>
          <w:rFonts w:ascii="Arial" w:cs="Arial" w:eastAsia="Arial" w:hAnsi="Arial"/>
          <w:b/>
          <w:sz w:val="22"/>
          <w:szCs w:val="22"/>
        </w:rPr>
        <w:t>Solana Seeker</w:t>
      </w:r>
      <w:r>
        <w:rPr>
          <w:rFonts w:ascii="Arial" w:cs="Arial" w:eastAsia="Arial" w:hAnsi="Arial"/>
          <w:sz w:val="22"/>
          <w:szCs w:val="22"/>
        </w:rPr>
        <w:t xml:space="preserve"> — a mobile device built for exactly this: putting the giving infrastructure in the hands of hub operators and donors on the ground. The tech is not incidental. Solana is the reason the north star is achievable.</w:t>
      </w:r>
    </w:p>
    <w:p>
      <w:pPr>
        <w:spacing w:before="60" w:after="60"/>
      </w:pPr>
      <w:r>
        <w:rPr>
          <w:rFonts w:ascii="Arial" w:cs="Arial" w:eastAsia="Arial" w:hAnsi="Arial"/>
          <w:sz w:val="22"/>
          <w:szCs w:val="22"/>
        </w:rPr>
        <w:t xml:space="preserve">Hubs are creator-operators: identified, contracted, and compensated on performance — the best bring in the most, like athletes on a team. The Glimpse Foundation works closely with each hub at launch. As trust is established and checks and balances are verified, hubs operate autonomously. The system runs itself. Revenue from the three tiers below funds the entire infrastructure.</w:t>
      </w:r>
    </w:p>
    <w:p>
      <w:pPr>
        <w:spacing w:before="80" w:after="80"/>
      </w:pPr>
      <w:r>
        <w:t xml:space="preserve"/>
      </w:r>
    </w:p>
    <w:p>
      <w:pPr>
        <w:spacing w:before="80" w:after="80"/>
      </w:pPr>
      <w:r>
        <w:t xml:space="preserve"/>
      </w:r>
    </w:p>
    <w:p>
      <w:pPr>
        <w:shd w:fill="1A3C5E" w:val="clear"/>
        <w:spacing w:before="400" w:after="200"/>
      </w:pPr>
      <w:r>
        <w:rPr>
          <w:rFonts w:ascii="Arial" w:cs="Arial" w:eastAsia="Arial" w:hAnsi="Arial"/>
          <w:b/>
          <w:bCs/>
          <w:color w:val="FFFFFF"/>
          <w:sz w:val="26"/>
          <w:szCs w:val="26"/>
        </w:rPr>
        <w:t xml:space="preserve">  SECTION 3 — TOKEN MODEL</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Tokenomics Overview</w:t>
      </w:r>
    </w:p>
    <w:p>
      <w:pPr>
        <w:spacing w:before="60" w:after="60"/>
      </w:pPr>
      <w:r>
        <w:rPr>
          <w:rFonts w:ascii="Arial" w:cs="Arial" w:eastAsia="Arial" w:hAnsi="Arial"/>
          <w:sz w:val="22"/>
          <w:szCs w:val="22"/>
        </w:rPr>
        <w:t xml:space="preserve">Total supply: 1,000,000,000 (1 billion) tokens on Solana.</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Donor Airdrop Allocation — 10% of Supply</w:t>
      </w:r>
    </w:p>
    <w:p>
      <w:pPr>
        <w:pStyle w:val="ListParagraph"/>
        <w:numPr>
          <w:ilvl w:val="0"/>
          <w:numId w:val="2"/>
        </w:numPr>
        <w:spacing w:before="40" w:after="40"/>
      </w:pPr>
      <w:r>
        <w:rPr>
          <w:rFonts w:ascii="Arial" w:cs="Arial" w:eastAsia="Arial" w:hAnsi="Arial"/>
          <w:sz w:val="22"/>
          <w:szCs w:val="22"/>
        </w:rPr>
        <w:t xml:space="preserve">100,000,000 tokens (10% of total supply) are set aside for donor airdrops</w:t>
      </w:r>
    </w:p>
    <w:p>
      <w:pPr>
        <w:pStyle w:val="ListParagraph"/>
        <w:numPr>
          <w:ilvl w:val="0"/>
          <w:numId w:val="2"/>
        </w:numPr>
        <w:spacing w:before="40" w:after="40"/>
      </w:pPr>
      <w:r>
        <w:rPr>
          <w:rFonts w:ascii="Arial" w:cs="Arial" w:eastAsia="Arial" w:hAnsi="Arial"/>
          <w:sz w:val="22"/>
          <w:szCs w:val="22"/>
        </w:rPr>
        <w:t xml:space="preserve">Distribution: 0.5% of total supply (5,000,000 tokens) per 6-month campaign period</w:t>
      </w:r>
    </w:p>
    <w:p>
      <w:pPr>
        <w:pStyle w:val="ListParagraph"/>
        <w:numPr>
          <w:ilvl w:val="0"/>
          <w:numId w:val="2"/>
        </w:numPr>
        <w:spacing w:before="40" w:after="40"/>
      </w:pPr>
      <w:r>
        <w:rPr>
          <w:rFonts w:ascii="Arial" w:cs="Arial" w:eastAsia="Arial" w:hAnsi="Arial"/>
          <w:sz w:val="22"/>
          <w:szCs w:val="22"/>
        </w:rPr>
        <w:t xml:space="preserve">Duration: 20 periods over 10 years</w:t>
      </w:r>
    </w:p>
    <w:p>
      <w:pPr>
        <w:pStyle w:val="ListParagraph"/>
        <w:numPr>
          <w:ilvl w:val="0"/>
          <w:numId w:val="2"/>
        </w:numPr>
        <w:spacing w:before="40" w:after="40"/>
      </w:pPr>
      <w:r>
        <w:rPr>
          <w:rFonts w:ascii="Arial" w:cs="Arial" w:eastAsia="Arial" w:hAnsi="Arial"/>
          <w:sz w:val="22"/>
          <w:szCs w:val="22"/>
        </w:rPr>
        <w:t xml:space="preserve">Each donor receives a proportional share of that period's 5M tokens based on their share of total donations</w:t>
      </w:r>
    </w:p>
    <w:p>
      <w:pPr>
        <w:pStyle w:val="ListParagraph"/>
        <w:numPr>
          <w:ilvl w:val="0"/>
          <w:numId w:val="2"/>
        </w:numPr>
        <w:spacing w:before="40" w:after="40"/>
      </w:pPr>
      <w:r>
        <w:rPr>
          <w:rFonts w:ascii="Arial" w:cs="Arial" w:eastAsia="Arial" w:hAnsi="Arial"/>
          <w:sz w:val="22"/>
          <w:szCs w:val="22"/>
        </w:rPr>
        <w:t xml:space="preserve">Allocation resets each period — new campaign, new competition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vAlign w:val="center"/>
          </w:tcPr>
          <w:p>
            <w:pPr>
              <w:jc w:val="center"/>
            </w:pPr>
            <w:r>
              <w:rPr>
                <w:rFonts w:ascii="Arial" w:cs="Arial" w:eastAsia="Arial" w:hAnsi="Arial"/>
                <w:b/>
                <w:bCs/>
                <w:color w:val="D35400"/>
                <w:sz w:val="20"/>
                <w:szCs w:val="20"/>
              </w:rPr>
              <w:t xml:space="preserve">NOTE</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0.5% × 20 periods = 10% total supply distributed over 10 years. The buyback pool is a separate, additional mechanism. How it is deployed is decided by token holder governance — not the founding team. First vote: June 1, 2027, when full supply unlocks.</w:t>
            </w:r>
          </w:p>
        </w:tc>
      </w:tr>
    </w:tbl>
    <w:p>
      <w:pPr>
        <w:spacing w:before="80" w:after="80"/>
      </w:pPr>
      <w:r>
        <w:t xml:space="preserve"/>
      </w:r>
    </w:p>
    <w:p>
      <w:pPr>
        <w:pStyle w:val="Heading2"/>
        <w:spacing w:before="280" w:after="80"/>
      </w:pPr>
      <w:r>
        <w:rPr>
          <w:rFonts w:ascii="Arial" w:cs="Arial" w:eastAsia="Arial" w:hAnsi="Arial"/>
          <w:b/>
          <w:bCs/>
          <w:color w:val="2E86C1"/>
          <w:sz w:val="24"/>
          <w:szCs w:val="24"/>
        </w:rPr>
        <w:t xml:space="preserve">Buyback Mechanism — 10% of PBC Revenue</w:t>
      </w:r>
    </w:p>
    <w:p>
      <w:pPr>
        <w:pStyle w:val="ListParagraph"/>
        <w:numPr>
          <w:ilvl w:val="0"/>
          <w:numId w:val="2"/>
        </w:numPr>
        <w:spacing w:before="40" w:after="40"/>
      </w:pPr>
      <w:r>
        <w:rPr>
          <w:rFonts w:ascii="Arial" w:cs="Arial" w:eastAsia="Arial" w:hAnsi="Arial"/>
          <w:sz w:val="22"/>
          <w:szCs w:val="22"/>
        </w:rPr>
        <w:t xml:space="preserve">10% of all PBC revenue is used to purchase tokens from the open market</w:t>
      </w:r>
    </w:p>
    <w:p>
      <w:pPr>
        <w:pStyle w:val="ListParagraph"/>
        <w:numPr>
          <w:ilvl w:val="0"/>
          <w:numId w:val="2"/>
        </w:numPr>
        <w:spacing w:before="40" w:after="40"/>
      </w:pPr>
      <w:r>
        <w:rPr>
          <w:rFonts w:ascii="Arial" w:cs="Arial" w:eastAsia="Arial" w:hAnsi="Arial"/>
          <w:sz w:val="22"/>
          <w:szCs w:val="22"/>
        </w:rPr>
        <w:t xml:space="preserve">Bought tokens enter the locked pool</w:t>
      </w:r>
    </w:p>
    <w:p>
      <w:pPr>
        <w:pStyle w:val="ListParagraph"/>
        <w:numPr>
          <w:ilvl w:val="0"/>
          <w:numId w:val="2"/>
        </w:numPr>
        <w:spacing w:before="40" w:after="40"/>
      </w:pPr>
      <w:r>
        <w:rPr>
          <w:rFonts w:ascii="Arial" w:cs="Arial" w:eastAsia="Arial" w:hAnsi="Arial"/>
          <w:sz w:val="22"/>
          <w:szCs w:val="22"/>
        </w:rPr>
        <w:t xml:space="preserve">Pool allocation is determined by token holder governance vote. The first vote occurs June 1, 2027, when the entire supply unlocks. Token holders — not the founding team — decide: increase the 0.5% per period (donors get more per campaign) OR extend the timeline beyond year 10</w:t>
      </w:r>
    </w:p>
    <w:p>
      <w:pPr>
        <w:pStyle w:val="ListParagraph"/>
        <w:numPr>
          <w:ilvl w:val="0"/>
          <w:numId w:val="2"/>
        </w:numPr>
        <w:spacing w:before="40" w:after="40"/>
      </w:pPr>
      <w:r>
        <w:rPr>
          <w:rFonts w:ascii="Arial" w:cs="Arial" w:eastAsia="Arial" w:hAnsi="Arial"/>
          <w:sz w:val="22"/>
          <w:szCs w:val="22"/>
        </w:rPr>
        <w:t xml:space="preserve">This creates fundamental buying pressure backed by real revenue — not speculation</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The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60"/>
              <w:jc w:val="center"/>
            </w:pPr>
            <w:r>
              <w:rPr>
                <w:rFonts w:ascii="Arial" w:cs="Arial" w:eastAsia="Arial" w:hAnsi="Arial"/>
                <w:b/>
                <w:bCs/>
                <w:color w:val="1A3C5E"/>
                <w:sz w:val="21"/>
                <w:szCs w:val="21"/>
              </w:rPr>
              <w:t xml:space="preserve">PBC revenue grows  →  More buybacks  →  Token price pressure up</w:t>
            </w:r>
          </w:p>
          <w:p>
            <w:pPr>
              <w:spacing w:after="60"/>
              <w:jc w:val="center"/>
            </w:pPr>
            <w:r>
              <w:rPr>
                <w:rFonts w:ascii="Arial" w:cs="Arial" w:eastAsia="Arial" w:hAnsi="Arial"/>
                <w:color w:val="2E86C1"/>
                <w:sz w:val="24"/>
                <w:szCs w:val="24"/>
              </w:rPr>
              <w:t xml:space="preserve">↓</w:t>
            </w:r>
          </w:p>
          <w:p>
            <w:pPr>
              <w:spacing w:after="60"/>
              <w:jc w:val="center"/>
            </w:pPr>
            <w:r>
              <w:rPr>
                <w:rFonts w:ascii="Arial" w:cs="Arial" w:eastAsia="Arial" w:hAnsi="Arial"/>
                <w:b/>
                <w:bCs/>
                <w:color w:val="1A3C5E"/>
                <w:sz w:val="21"/>
                <w:szCs w:val="21"/>
              </w:rPr>
              <w:t xml:space="preserve">Airdrop worth more in dollar terms  →  Donors compete harder for share</w:t>
            </w:r>
          </w:p>
          <w:p>
            <w:pPr>
              <w:spacing w:after="60"/>
              <w:jc w:val="center"/>
            </w:pPr>
            <w:r>
              <w:rPr>
                <w:rFonts w:ascii="Arial" w:cs="Arial" w:eastAsia="Arial" w:hAnsi="Arial"/>
                <w:color w:val="2E86C1"/>
                <w:sz w:val="24"/>
                <w:szCs w:val="24"/>
              </w:rPr>
              <w:t xml:space="preserve">↓</w:t>
            </w:r>
          </w:p>
          <w:p>
            <w:pPr>
              <w:spacing w:after="60"/>
              <w:jc w:val="center"/>
            </w:pPr>
            <w:r>
              <w:rPr>
                <w:rFonts w:ascii="Arial" w:cs="Arial" w:eastAsia="Arial" w:hAnsi="Arial"/>
                <w:b/>
                <w:bCs/>
                <w:color w:val="1A3C5E"/>
                <w:sz w:val="21"/>
                <w:szCs w:val="21"/>
              </w:rPr>
              <w:t xml:space="preserve">Campaign volume grows  →  More impact  →  More press  →  More city partners</w:t>
            </w:r>
          </w:p>
          <w:p>
            <w:pPr>
              <w:spacing w:after="0"/>
              <w:jc w:val="center"/>
            </w:pPr>
            <w:r>
              <w:rPr>
                <w:rFonts w:ascii="Arial" w:cs="Arial" w:eastAsia="Arial" w:hAnsi="Arial"/>
                <w:color w:val="2E86C1"/>
                <w:sz w:val="18"/>
                <w:szCs w:val="18"/>
              </w:rPr>
              <w:t xml:space="preserve">↑___________________________________________________|</w:t>
            </w:r>
          </w:p>
        </w:tc>
      </w:tr>
    </w:tbl>
    <w:p>
      <w:pPr>
        <w:spacing w:before="80" w:after="80"/>
      </w:pPr>
      <w:r>
        <w:t xml:space="preserve"/>
      </w:r>
    </w:p>
    <w:p>
      <w:pPr>
        <w:pStyle w:val="Heading2"/>
        <w:spacing w:before="280" w:after="80"/>
      </w:pPr>
      <w:r>
        <w:rPr>
          <w:rFonts w:ascii="Arial" w:cs="Arial" w:eastAsia="Arial" w:hAnsi="Arial"/>
          <w:b/>
          <w:bCs/>
          <w:color w:val="2E86C1"/>
          <w:sz w:val="24"/>
          <w:szCs w:val="24"/>
        </w:rPr>
        <w:t xml:space="preserve">Whale Donor Dynamic</w:t>
      </w:r>
    </w:p>
    <w:p>
      <w:pPr>
        <w:spacing w:before="60" w:after="60"/>
      </w:pPr>
      <w:r>
        <w:rPr>
          <w:rFonts w:ascii="Arial" w:cs="Arial" w:eastAsia="Arial" w:hAnsi="Arial"/>
          <w:sz w:val="22"/>
          <w:szCs w:val="22"/>
        </w:rPr>
        <w:t xml:space="preserve">Whale donors are a feature, not a bug. A large donor:</w:t>
      </w:r>
    </w:p>
    <w:p>
      <w:pPr>
        <w:pStyle w:val="ListParagraph"/>
        <w:numPr>
          <w:ilvl w:val="0"/>
          <w:numId w:val="2"/>
        </w:numPr>
        <w:spacing w:before="40" w:after="40"/>
      </w:pPr>
      <w:r>
        <w:rPr>
          <w:rFonts w:ascii="Arial" w:cs="Arial" w:eastAsia="Arial" w:hAnsi="Arial"/>
          <w:sz w:val="22"/>
          <w:szCs w:val="22"/>
        </w:rPr>
        <w:t xml:space="preserve">Drives up total campaign donation volume — more impact for the recipient</w:t>
      </w:r>
    </w:p>
    <w:p>
      <w:pPr>
        <w:pStyle w:val="ListParagraph"/>
        <w:numPr>
          <w:ilvl w:val="0"/>
          <w:numId w:val="2"/>
        </w:numPr>
        <w:spacing w:before="40" w:after="40"/>
      </w:pPr>
      <w:r>
        <w:rPr>
          <w:rFonts w:ascii="Arial" w:cs="Arial" w:eastAsia="Arial" w:hAnsi="Arial"/>
          <w:sz w:val="22"/>
          <w:szCs w:val="22"/>
        </w:rPr>
        <w:t xml:space="preserve">Creates competition — other donors are incentivized to give more to capture share</w:t>
      </w:r>
    </w:p>
    <w:p>
      <w:pPr>
        <w:pStyle w:val="ListParagraph"/>
        <w:numPr>
          <w:ilvl w:val="0"/>
          <w:numId w:val="2"/>
        </w:numPr>
        <w:spacing w:before="40" w:after="40"/>
      </w:pPr>
      <w:r>
        <w:rPr>
          <w:rFonts w:ascii="Arial" w:cs="Arial" w:eastAsia="Arial" w:hAnsi="Arial"/>
          <w:sz w:val="22"/>
          <w:szCs w:val="22"/>
        </w:rPr>
        <w:t xml:space="preserve">Generates organic content — large donations are viral moments</w:t>
      </w:r>
    </w:p>
    <w:p>
      <w:pPr>
        <w:pStyle w:val="ListParagraph"/>
        <w:numPr>
          <w:ilvl w:val="0"/>
          <w:numId w:val="2"/>
        </w:numPr>
        <w:spacing w:before="40" w:after="40"/>
      </w:pPr>
      <w:r>
        <w:rPr>
          <w:rFonts w:ascii="Arial" w:cs="Arial" w:eastAsia="Arial" w:hAnsi="Arial"/>
          <w:sz w:val="22"/>
          <w:szCs w:val="22"/>
        </w:rPr>
        <w:t xml:space="preserve">Is rewarded fairly and transparently on-chain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vAlign w:val="center"/>
          </w:tcPr>
          <w:p>
            <w:pPr>
              <w:jc w:val="center"/>
            </w:pPr>
            <w:r>
              <w:rPr>
                <w:rFonts w:ascii="Arial" w:cs="Arial" w:eastAsia="Arial" w:hAnsi="Arial"/>
                <w:b/>
                <w:bCs/>
                <w:color w:val="D35400"/>
                <w:sz w:val="20"/>
                <w:szCs w:val="20"/>
              </w:rPr>
              <w:t xml:space="preserve">ANTI-GAMING</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The whale risk is donor-to-themselves through a shell recipient. This is handled by the Foundation's recipient vetting process — no prior connection between donor and recipient is permitted, verified manually by founder at launch, then AI-automated. The vetting process is the anti-gaming layer for the entire token mechanic.</w:t>
            </w:r>
          </w:p>
        </w:tc>
      </w:tr>
    </w:tbl>
    <w:p>
      <w:pPr>
        <w:spacing w:before="80" w:after="80"/>
      </w:pPr>
      <w:r>
        <w:t xml:space="preserve"/>
      </w:r>
    </w:p>
    <w:p>
      <w:pPr>
        <w:shd w:fill="1A3C5E" w:val="clear"/>
        <w:spacing w:before="400" w:after="200"/>
      </w:pPr>
      <w:r>
        <w:rPr>
          <w:rFonts w:ascii="Arial" w:cs="Arial" w:eastAsia="Arial" w:hAnsi="Arial"/>
          <w:b/>
          <w:bCs/>
          <w:color w:val="FFFFFF"/>
          <w:sz w:val="26"/>
          <w:szCs w:val="26"/>
        </w:rPr>
        <w:t xml:space="preserve">  SECTION 4 — CONCERNS &amp; HOW THEY ARE HANDLED</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Risk Register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1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Glimpse Handles It</w:t>
            </w:r>
          </w:p>
        </w:tc>
        <w:tc>
          <w:tcPr>
            <w:tcW w:type="dxa" w:w="11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For-profit controlling a nonprofit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legally separate entities — PBC and Foundation. No ownership or control relationship. PBC can donate to Foundation but cannot direct it. Separate boards, separate EINs, arm's-length contracts.</w:t>
            </w:r>
          </w:p>
        </w:tc>
        <w:tc>
          <w:tcPr>
            <w:tcW w:type="dxa" w:w="11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18"/>
                <w:szCs w:val="18"/>
              </w:rPr>
              <w:t xml:space="preserve">RESOLVED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Nonprofit funding / operating at 0% fees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sponsors (city partners and large companies/creators) make restricted gifts to the Foundation that cover all operational costs for each campaign. Donor dollars flow 100% to recipients.</w:t>
            </w:r>
          </w:p>
        </w:tc>
        <w:tc>
          <w:tcPr>
            <w:tcW w:type="dxa" w:w="11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18"/>
                <w:szCs w:val="18"/>
              </w:rPr>
              <w:t xml:space="preserve">RESOLVED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Quid pro quo / IRS recognition vs. advertising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Sponsor acknowledgment (logo, naming) is treated as recognition, not advertising. Proper gift acknowledgment letters issued. Consulting nonprofit attorney to template this correctly at launch.</w:t>
            </w:r>
          </w:p>
        </w:tc>
        <w:tc>
          <w:tcPr>
            <w:tcW w:type="dxa" w:w="11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950B"/>
                <w:sz w:val="18"/>
                <w:szCs w:val="18"/>
              </w:rPr>
              <w:t xml:space="preserve">MONITORED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USDC holding / money transmission licensing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Iowa requires no charitable solicitation registration. Launch immediately with clear disclosure that tax-deductibility is pending 501(c)(3) approval. Donors must provide financial disclosures within 5 days of request per Iowa Code 13C. Out-of-state solicitation compliance addressed as national campaigns scale. Money transmission licensing remains a monitored risk as USDC volume grows.</w:t>
            </w:r>
          </w:p>
        </w:tc>
        <w:tc>
          <w:tcPr>
            <w:tcW w:type="dxa" w:w="11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950B"/>
                <w:sz w:val="18"/>
                <w:szCs w:val="18"/>
              </w:rPr>
              <w:t xml:space="preserve">MONITORED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Token as security (Howey Test)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 are earned retroactively based on participation — not promised upfront as an investment. Framing is utility and donor rewards, not investment returns. Tokens distributed per campaign period based on giving share. Attorney review required before public launch.</w:t>
            </w:r>
          </w:p>
        </w:tc>
        <w:tc>
          <w:tcPr>
            <w:tcW w:type="dxa" w:w="11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950B"/>
                <w:sz w:val="18"/>
                <w:szCs w:val="18"/>
              </w:rPr>
              <w:t xml:space="preserve">MONITORED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Whale gaming — donor donating to shell recipient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requires no prior connection between donor and recipient. Founder manually oversees all flows at launch. AI agents are trained to process and approve donations automatically as trust is established. The vetting process is the anti-gaming layer for the entire token mechanic.</w:t>
            </w:r>
          </w:p>
        </w:tc>
        <w:tc>
          <w:tcPr>
            <w:tcW w:type="dxa" w:w="11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18"/>
                <w:szCs w:val="18"/>
              </w:rPr>
              <w:t xml:space="preserve">RESOLVED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Token with no fundamental backing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Buybacks are funded by real PBC revenue from city partner contracts — not speculation. This gives the token fundamental support tied to business performance, not hype.</w:t>
            </w:r>
          </w:p>
        </w:tc>
        <w:tc>
          <w:tcPr>
            <w:tcW w:type="dxa" w:w="11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18"/>
                <w:szCs w:val="18"/>
              </w:rPr>
              <w:t xml:space="preserve">RESOLVED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Nonprofit sustainability without grants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costs are covered campaign-by-campaign through sponsor restricted gifts. Foundation does not rely on grants. Additional runway from PBC donations as business scales.</w:t>
            </w:r>
          </w:p>
        </w:tc>
        <w:tc>
          <w:tcPr>
            <w:tcW w:type="dxa" w:w="11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18"/>
                <w:szCs w:val="18"/>
              </w:rPr>
              <w:t xml:space="preserve">RESOLVED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Single founder / key person risk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Acknowledged. Foundation will require at least 3 board members for IRS 501(c)(3) approval. PBC should document processes and build toward hiring as revenue scales.</w:t>
            </w:r>
          </w:p>
        </w:tc>
        <w:tc>
          <w:tcPr>
            <w:tcW w:type="dxa" w:w="116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35400"/>
                <w:sz w:val="18"/>
                <w:szCs w:val="18"/>
              </w:rPr>
              <w:t xml:space="preserve">OPEN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City partner sales motion — scalability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services is relationship-driven. Strategy: convert the #1 rated operator in each trade per city. One converted roofer opens the entire trade network. Word-of-mouth scales the model without a large sales team.</w:t>
            </w:r>
          </w:p>
        </w:tc>
        <w:tc>
          <w:tcPr>
            <w:tcW w:type="dxa" w:w="11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18"/>
                <w:szCs w:val="18"/>
              </w:rPr>
              <w:t xml:space="preserve">RESOLVED</w:t>
            </w:r>
          </w:p>
        </w:tc>
      </w:tr>
    </w:tbl>
    <w:p>
      <w:pPr>
        <w:spacing w:before="80" w:after="80"/>
      </w:pPr>
      <w:r>
        <w:t xml:space="preserve"/>
      </w:r>
    </w:p>
    <w:p>
      <w:pPr>
        <w:spacing w:before="80" w:after="80"/>
      </w:pPr>
      <w:r>
        <w:t xml:space="preserve"/>
      </w:r>
    </w:p>
    <w:p>
      <w:pPr>
        <w:shd w:fill="1A3C5E" w:val="clear"/>
        <w:spacing w:before="400" w:after="200"/>
      </w:pPr>
      <w:r>
        <w:rPr>
          <w:rFonts w:ascii="Arial" w:cs="Arial" w:eastAsia="Arial" w:hAnsi="Arial"/>
          <w:b/>
          <w:bCs/>
          <w:color w:val="FFFFFF"/>
          <w:sz w:val="26"/>
          <w:szCs w:val="26"/>
        </w:rPr>
        <w:t xml:space="preserve">  SECTION 5 — FILING ROADMAP</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What To File and When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4040"/>
        <w:gridCol w:w="2400"/>
      </w:tblGrid>
      <w:t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File Glimpse PBC</w:t>
            </w:r>
          </w:p>
        </w:tc>
        <w:tc>
          <w:tcPr>
            <w:tcW w:type="dxa" w:w="4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Delaware Public Benefit Corporation. Benefit = supporting charitable giving through tech. Use Stripe Atlas or Clerky. ~$300.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business accounts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account + Solana wallet for PBC. Needed for partner contracts and buybacks.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Launch donations</w:t>
            </w:r>
          </w:p>
        </w:tc>
        <w:tc>
          <w:tcPr>
            <w:tcW w:type="dxa" w:w="4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Accept USDC donations directly. Disclose that donations are not yet tax-deductible. Iowa requires no registration to solicit. Notify donors when 501(c)(3) is approved.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Glimpse Foundation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501(c)(3). Separate EIN, 3+ board members. File Form 1023 or 1023-EZ.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Crypto securities attorney</w:t>
            </w:r>
          </w:p>
        </w:tc>
        <w:tc>
          <w:tcPr>
            <w:tcW w:type="dxa" w:w="4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One consult before token goes public. Confirm utility framing, airdrop mechanic, Howey positioning.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Before token launch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Nonprofit attorney</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sponsor acknowledgment letters and quid pro quo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first campaign</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IRS 501(c)(3) approval</w:t>
            </w:r>
          </w:p>
        </w:tc>
        <w:tc>
          <w:tcPr>
            <w:tcW w:type="dxa" w:w="4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Budget 3–6 months from filing.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4–8</w:t>
            </w:r>
          </w:p>
        </w:tc>
      </w:tr>
    </w:tbl>
    <w:p>
      <w:pPr>
        <w:spacing w:before="80" w:after="80"/>
      </w:pPr>
      <w:r>
        <w:t xml:space="preserve"/>
      </w:r>
    </w:p>
    <w:p>
      <w:pPr>
        <w:spacing w:before="80" w:after="80"/>
      </w:pPr>
      <w:r>
        <w:t xml:space="preserve"/>
      </w:r>
    </w:p>
    <w:p>
      <w:pPr>
        <w:pBdr>
          <w:top w:val="single" w:color="2E86C1" w:sz="4" w:space="4"/>
        </w:pBdr>
        <w:spacing w:before="480"/>
        <w:jc w:val="center"/>
      </w:pPr>
      <w:r>
        <w:rPr>
          <w:rFonts w:ascii="Arial" w:cs="Arial" w:eastAsia="Arial" w:hAnsi="Arial"/>
          <w:i/>
          <w:iCs/>
          <w:color w:val="888888"/>
          <w:sz w:val="20"/>
          <w:szCs w:val="20"/>
        </w:rPr>
        <w:t xml:space="preserve">Glimpse — Documenting Kindness, Creating Connections</w:t>
      </w:r>
    </w:p>
    <w:p>
      <w:r>
        <w:rPr>
          <w:rFonts w:ascii="Arial" w:cs="Arial" w:eastAsia="Arial" w:hAnsi="Arial"/>
        </w:rPr>
        <w:br w:type="page"/>
      </w:r>
    </w:p>
    <w:p>
      <w:pPr>
        <w:shd w:fill="1A3C5E" w:val="clear"/>
        <w:spacing w:before="400" w:after="200"/>
      </w:pPr>
      <w:r>
        <w:rPr>
          <w:rFonts w:ascii="Arial" w:cs="Arial" w:eastAsia="Arial" w:hAnsi="Arial"/>
          <w:b/>
          <w:bCs/>
          <w:color w:val="FFFFFF"/>
          <w:sz w:val="26"/>
          <w:szCs w:val="26"/>
        </w:rPr>
        <w:t xml:space="preserve">  AMENDMENT — BLINDSPOT ANALYSIS &amp; CLARIFICATIONS</w:t>
      </w:r>
    </w:p>
    <w:p>
      <w:pPr>
        <w:spacing w:before="60" w:after="60"/>
      </w:pPr>
      <w:r>
        <w:rPr>
          <w:rFonts w:ascii="Arial" w:cs="Arial" w:eastAsia="Arial" w:hAnsi="Arial"/>
          <w:i/>
          <w:iCs/>
          <w:color w:val="555555"/>
          <w:sz w:val="20"/>
          <w:szCs w:val="20"/>
        </w:rPr>
        <w:t xml:space="preserve">Added March 4, 2026 — Brainstorm session between founder and AI collaborator. These clarifications address blindspots identified in the original document and capture founder decisions on messaging, revenue model detail, and content/IP structure.</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A1. Bootstrap Narrative — The Gap Between Zero Fees and Revenue</w:t>
      </w:r>
    </w:p>
    <w:p>
      <w:pPr>
        <w:spacing w:before="60" w:after="60"/>
      </w:pPr>
      <w:r>
        <w:rPr>
          <w:rFonts w:ascii="Arial" w:cs="Arial" w:eastAsia="Arial" w:hAnsi="Arial"/>
          <w:sz w:val="22"/>
          <w:szCs w:val="22"/>
        </w:rPr>
        <w:t xml:space="preserve">The original document does not address what funds operations between launch and first city partner revenue. The answer:</w:t>
      </w:r>
    </w:p>
    <w:p>
      <w:pPr>
        <w:pStyle w:val="ListParagraph"/>
        <w:numPr>
          <w:ilvl w:val="0"/>
          <w:numId w:val="2"/>
        </w:numPr>
        <w:spacing w:before="40" w:after="40"/>
      </w:pPr>
      <w:r>
        <w:rPr>
          <w:rFonts w:ascii="Arial" w:cs="Arial" w:eastAsia="Arial" w:hAnsi="Arial"/>
          <w:b/>
          <w:sz w:val="22"/>
          <w:szCs w:val="22"/>
        </w:rPr>
        <w:t xml:space="preserve">Season 1 is self-funded by the founder.</w:t>
      </w:r>
      <w:r>
        <w:rPr>
          <w:rFonts w:ascii="Arial" w:cs="Arial" w:eastAsia="Arial" w:hAnsi="Arial"/>
          <w:sz w:val="22"/>
          <w:szCs w:val="22"/>
        </w:rPr>
        <w:t xml:space="preserve"> Derrick is the first hub operator. All infrastructure costs (Supabase, Helius RPC, development time) are personally funded as proof of concept</w:t>
      </w:r>
    </w:p>
    <w:p>
      <w:pPr>
        <w:pStyle w:val="ListParagraph"/>
        <w:numPr>
          <w:ilvl w:val="0"/>
          <w:numId w:val="2"/>
        </w:numPr>
        <w:spacing w:before="40" w:after="40"/>
      </w:pPr>
      <w:r>
        <w:rPr>
          <w:rFonts w:ascii="Arial" w:cs="Arial" w:eastAsia="Arial" w:hAnsi="Arial"/>
          <w:b/>
          <w:sz w:val="22"/>
          <w:szCs w:val="22"/>
        </w:rPr>
        <w:t xml:space="preserve">Actively raising investment.</w:t>
      </w:r>
      <w:r>
        <w:rPr>
          <w:rFonts w:ascii="Arial" w:cs="Arial" w:eastAsia="Arial" w:hAnsi="Arial"/>
          <w:sz w:val="22"/>
          <w:szCs w:val="22"/>
        </w:rPr>
        <w:t xml:space="preserve"> Glimpse is competing in the Pump.fun / Solana hackathon. Any investment or prize money counts toward capitalizing the PBC</w:t>
      </w:r>
    </w:p>
    <w:p>
      <w:pPr>
        <w:pStyle w:val="ListParagraph"/>
        <w:numPr>
          <w:ilvl w:val="0"/>
          <w:numId w:val="2"/>
        </w:numPr>
        <w:spacing w:before="40" w:after="40"/>
      </w:pPr>
      <w:r>
        <w:rPr>
          <w:rFonts w:ascii="Arial" w:cs="Arial" w:eastAsia="Arial" w:hAnsi="Arial"/>
          <w:b/>
          <w:sz w:val="22"/>
          <w:szCs w:val="22"/>
        </w:rPr>
        <w:t xml:space="preserve">Hackathon prize flows into the model.</w:t>
      </w:r>
      <w:r>
        <w:rPr>
          <w:rFonts w:ascii="Arial" w:cs="Arial" w:eastAsia="Arial" w:hAnsi="Arial"/>
          <w:sz w:val="22"/>
          <w:szCs w:val="22"/>
        </w:rPr>
        <w:t xml:space="preserve"> If Glimpse wins the $250K hackathon prize, 25% goes directly to token buybacks — the flywheel working on day one</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A2. Revenue Model Expanded — Cause Marketing Agency</w:t>
      </w:r>
    </w:p>
    <w:p>
      <w:pPr>
        <w:spacing w:before="60" w:after="60"/>
      </w:pPr>
      <w:r>
        <w:rPr>
          <w:rFonts w:ascii="Arial" w:cs="Arial" w:eastAsia="Arial" w:hAnsi="Arial"/>
          <w:sz w:val="22"/>
          <w:szCs w:val="22"/>
        </w:rPr>
        <w:t xml:space="preserve">The original document says “city partner / sponsor model” without defining what the partner receives. The PBC operates as a </w:t>
      </w:r>
      <w:r>
        <w:rPr>
          <w:rFonts w:ascii="Arial" w:cs="Arial" w:eastAsia="Arial" w:hAnsi="Arial"/>
          <w:b/>
          <w:sz w:val="22"/>
          <w:szCs w:val="22"/>
        </w:rPr>
        <w:t>cause marketing agency</w:t>
      </w:r>
      <w:r>
        <w:rPr>
          <w:rFonts w:ascii="Arial" w:cs="Arial" w:eastAsia="Arial" w:hAnsi="Arial"/>
          <w:sz w:val="22"/>
          <w:szCs w:val="22"/>
        </w:rPr>
        <w:t xml:space="preserve"> for local and regional businesses:</w:t>
      </w:r>
    </w:p>
    <w:p>
      <w:pPr>
        <w:pStyle w:val="ListParagraph"/>
        <w:numPr>
          <w:ilvl w:val="0"/>
          <w:numId w:val="2"/>
        </w:numPr>
        <w:spacing w:before="40" w:after="40"/>
      </w:pPr>
      <w:r>
        <w:rPr>
          <w:rFonts w:ascii="Arial" w:cs="Arial" w:eastAsia="Arial" w:hAnsi="Arial"/>
          <w:b/>
          <w:sz w:val="22"/>
          <w:szCs w:val="22"/>
        </w:rPr>
        <w:t>Clients:</w:t>
      </w:r>
      <w:r>
        <w:rPr>
          <w:rFonts w:ascii="Arial" w:cs="Arial" w:eastAsia="Arial" w:hAnsi="Arial"/>
          <w:sz w:val="22"/>
          <w:szCs w:val="22"/>
        </w:rPr>
        <w:t xml:space="preserve"> Restaurants, roofers, home services, any local business that wants to invest in their community and get credit for it</w:t>
      </w:r>
    </w:p>
    <w:p>
      <w:pPr>
        <w:pStyle w:val="ListParagraph"/>
        <w:numPr>
          <w:ilvl w:val="0"/>
          <w:numId w:val="2"/>
        </w:numPr>
        <w:spacing w:before="40" w:after="40"/>
      </w:pPr>
      <w:r>
        <w:rPr>
          <w:rFonts w:ascii="Arial" w:cs="Arial" w:eastAsia="Arial" w:hAnsi="Arial"/>
          <w:b/>
          <w:sz w:val="22"/>
          <w:szCs w:val="22"/>
        </w:rPr>
        <w:t>Engagement:</w:t>
      </w:r>
      <w:r>
        <w:rPr>
          <w:rFonts w:ascii="Arial" w:cs="Arial" w:eastAsia="Arial" w:hAnsi="Arial"/>
          <w:sz w:val="22"/>
          <w:szCs w:val="22"/>
        </w:rPr>
        <w:t xml:space="preserve"> 3–6 month retainers and project-based contracts</w:t>
      </w:r>
    </w:p>
    <w:p>
      <w:pPr>
        <w:pStyle w:val="ListParagraph"/>
        <w:numPr>
          <w:ilvl w:val="0"/>
          <w:numId w:val="2"/>
        </w:numPr>
        <w:spacing w:before="40" w:after="40"/>
      </w:pPr>
      <w:r>
        <w:rPr>
          <w:rFonts w:ascii="Arial" w:cs="Arial" w:eastAsia="Arial" w:hAnsi="Arial"/>
          <w:b/>
          <w:sz w:val="22"/>
          <w:szCs w:val="22"/>
        </w:rPr>
        <w:t>Deliverables:</w:t>
      </w:r>
      <w:r>
        <w:rPr>
          <w:rFonts w:ascii="Arial" w:cs="Arial" w:eastAsia="Arial" w:hAnsi="Arial"/>
          <w:sz w:val="22"/>
          <w:szCs w:val="22"/>
        </w:rPr>
        <w:t xml:space="preserve"> Campaign strategy tied to real charitable impact in their community, content creation (donation moments, recipient stories, impact proof), social distribution on Glimpse channels, crafted offers and discounts explaining why the company invested in the campaign and what it means to them</w:t>
      </w:r>
    </w:p>
    <w:p>
      <w:pPr>
        <w:pStyle w:val="ListParagraph"/>
        <w:numPr>
          <w:ilvl w:val="0"/>
          <w:numId w:val="2"/>
        </w:numPr>
        <w:spacing w:before="40" w:after="40"/>
      </w:pPr>
      <w:r>
        <w:rPr>
          <w:rFonts w:ascii="Arial" w:cs="Arial" w:eastAsia="Arial" w:hAnsi="Arial"/>
          <w:b/>
          <w:sz w:val="22"/>
          <w:szCs w:val="22"/>
        </w:rPr>
        <w:t>Value to partner:</w:t>
      </w:r>
      <w:r>
        <w:rPr>
          <w:rFonts w:ascii="Arial" w:cs="Arial" w:eastAsia="Arial" w:hAnsi="Arial"/>
          <w:sz w:val="22"/>
          <w:szCs w:val="22"/>
        </w:rPr>
        <w:t xml:space="preserve"> Positive brand awareness backed by on-chain proof of real impact, plus lead and revenue generation. This replaces ineffective local ad spend with story-driven marketing tied to verified community outcomes</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A3. Content &amp; IP Rights Structure</w:t>
      </w:r>
    </w:p>
    <w:p>
      <w:pPr>
        <w:spacing w:before="60" w:after="60"/>
      </w:pPr>
      <w:r>
        <w:rPr>
          <w:rFonts w:ascii="Arial" w:cs="Arial" w:eastAsia="Arial" w:hAnsi="Arial"/>
          <w:sz w:val="22"/>
          <w:szCs w:val="22"/>
        </w:rPr>
        <w:t xml:space="preserve">Glimpse PBC owns all technology (app, codebase, brand) and, with permission, all content produced from donation campaigns. This is the asset that makes the cause marketing agency model work.</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Ownership Structure</w:t>
      </w:r>
    </w:p>
    <w:p>
      <w:pPr>
        <w:pStyle w:val="ListParagraph"/>
        <w:numPr>
          <w:ilvl w:val="0"/>
          <w:numId w:val="2"/>
        </w:numPr>
        <w:spacing w:before="40" w:after="40"/>
      </w:pPr>
      <w:r>
        <w:rPr>
          <w:rFonts w:ascii="Arial" w:cs="Arial" w:eastAsia="Arial" w:hAnsi="Arial"/>
          <w:b/>
          <w:sz w:val="22"/>
          <w:szCs w:val="22"/>
        </w:rPr>
        <w:t>PBC owns:</w:t>
      </w:r>
      <w:r>
        <w:rPr>
          <w:rFonts w:ascii="Arial" w:cs="Arial" w:eastAsia="Arial" w:hAnsi="Arial"/>
          <w:sz w:val="22"/>
          <w:szCs w:val="22"/>
        </w:rPr>
        <w:t xml:space="preserve"> The app, all technology, the Glimpse brand, and all content produced from campaigns (with consent)</w:t>
      </w:r>
    </w:p>
    <w:p>
      <w:pPr>
        <w:pStyle w:val="ListParagraph"/>
        <w:numPr>
          <w:ilvl w:val="0"/>
          <w:numId w:val="2"/>
        </w:numPr>
        <w:spacing w:before="40" w:after="40"/>
      </w:pPr>
      <w:r>
        <w:rPr>
          <w:rFonts w:ascii="Arial" w:cs="Arial" w:eastAsia="Arial" w:hAnsi="Arial"/>
          <w:b/>
          <w:sz w:val="22"/>
          <w:szCs w:val="22"/>
        </w:rPr>
        <w:t>Foundation uses:</w:t>
      </w:r>
      <w:r>
        <w:rPr>
          <w:rFonts w:ascii="Arial" w:cs="Arial" w:eastAsia="Arial" w:hAnsi="Arial"/>
          <w:sz w:val="22"/>
          <w:szCs w:val="22"/>
        </w:rPr>
        <w:t xml:space="preserve"> The technology under a service agreement or license from the PBC. The Foundation never sells content rights — that would jeopardize tax-exempt status</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Consent &amp; Release Structure</w:t>
      </w:r>
    </w:p>
    <w:p>
      <w:pPr>
        <w:pStyle w:val="ListParagraph"/>
        <w:numPr>
          <w:ilvl w:val="0"/>
          <w:numId w:val="2"/>
        </w:numPr>
        <w:spacing w:before="40" w:after="40"/>
      </w:pPr>
      <w:r>
        <w:rPr>
          <w:rFonts w:ascii="Arial" w:cs="Arial" w:eastAsia="Arial" w:hAnsi="Arial"/>
          <w:b/>
          <w:sz w:val="22"/>
          <w:szCs w:val="22"/>
        </w:rPr>
        <w:t>Donors:</w:t>
      </w:r>
      <w:r>
        <w:rPr>
          <w:rFonts w:ascii="Arial" w:cs="Arial" w:eastAsia="Arial" w:hAnsi="Arial"/>
          <w:sz w:val="22"/>
          <w:szCs w:val="22"/>
        </w:rPr>
        <w:t xml:space="preserve"> Content release via in-app terms of service granting Glimpse PBC the right to record, photograph, and use their likeness and story for marketing purposes</w:t>
      </w:r>
    </w:p>
    <w:p>
      <w:pPr>
        <w:pStyle w:val="ListParagraph"/>
        <w:numPr>
          <w:ilvl w:val="0"/>
          <w:numId w:val="2"/>
        </w:numPr>
        <w:spacing w:before="40" w:after="40"/>
      </w:pPr>
      <w:r>
        <w:rPr>
          <w:rFonts w:ascii="Arial" w:cs="Arial" w:eastAsia="Arial" w:hAnsi="Arial"/>
          <w:b/>
          <w:sz w:val="22"/>
          <w:szCs w:val="22"/>
        </w:rPr>
        <w:t>Recipients:</w:t>
      </w:r>
      <w:r>
        <w:rPr>
          <w:rFonts w:ascii="Arial" w:cs="Arial" w:eastAsia="Arial" w:hAnsi="Arial"/>
          <w:sz w:val="22"/>
          <w:szCs w:val="22"/>
        </w:rPr>
        <w:t xml:space="preserve"> Separate release with extra care — consent to be documented must never be a condition of receiving help. Attorney to template this</w:t>
      </w:r>
    </w:p>
    <w:p>
      <w:pPr>
        <w:pStyle w:val="ListParagraph"/>
        <w:numPr>
          <w:ilvl w:val="0"/>
          <w:numId w:val="2"/>
        </w:numPr>
        <w:spacing w:before="40" w:after="40"/>
      </w:pPr>
      <w:r>
        <w:rPr>
          <w:rFonts w:ascii="Arial" w:cs="Arial" w:eastAsia="Arial" w:hAnsi="Arial"/>
          <w:b/>
          <w:sz w:val="22"/>
          <w:szCs w:val="22"/>
        </w:rPr>
        <w:t>Business partners:</w:t>
      </w:r>
      <w:r>
        <w:rPr>
          <w:rFonts w:ascii="Arial" w:cs="Arial" w:eastAsia="Arial" w:hAnsi="Arial"/>
          <w:sz w:val="22"/>
          <w:szCs w:val="22"/>
        </w:rPr>
        <w:t xml:space="preserve"> Content usage terms included in retainer contracts</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Content Flow</w:t>
      </w:r>
    </w:p>
    <w:p>
      <w:pPr>
        <w:spacing w:before="60" w:after="60"/>
      </w:pPr>
      <w:r>
        <w:rPr>
          <w:rFonts w:ascii="Arial" w:cs="Arial" w:eastAsia="Arial" w:hAnsi="Arial"/>
          <w:sz w:val="22"/>
          <w:szCs w:val="22"/>
        </w:rPr>
        <w:t xml:space="preserve">Donor donates → Foundation receives and routes money → PBC documents the impact (with consent) → PBC uses content for city partner campaigns → City partner pays PBC retainer → 10% of revenue flows to token buybacks</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Needs Attorney Review</w:t>
      </w:r>
    </w:p>
    <w:p>
      <w:pPr>
        <w:pStyle w:val="ListParagraph"/>
        <w:numPr>
          <w:ilvl w:val="0"/>
          <w:numId w:val="2"/>
        </w:numPr>
        <w:spacing w:before="40" w:after="40"/>
      </w:pPr>
      <w:r>
        <w:rPr>
          <w:rFonts w:ascii="Arial" w:cs="Arial" w:eastAsia="Arial" w:hAnsi="Arial"/>
          <w:sz w:val="22"/>
          <w:szCs w:val="22"/>
        </w:rPr>
        <w:t xml:space="preserve">Content release language, especially for recipients in vulnerable situations</w:t>
      </w:r>
    </w:p>
    <w:p>
      <w:pPr>
        <w:pStyle w:val="ListParagraph"/>
        <w:numPr>
          <w:ilvl w:val="0"/>
          <w:numId w:val="2"/>
        </w:numPr>
        <w:spacing w:before="40" w:after="40"/>
      </w:pPr>
      <w:r>
        <w:rPr>
          <w:rFonts w:ascii="Arial" w:cs="Arial" w:eastAsia="Arial" w:hAnsi="Arial"/>
          <w:sz w:val="22"/>
          <w:szCs w:val="22"/>
        </w:rPr>
        <w:t xml:space="preserve">Whether in-app TOS consent is sufficient or separate signed releases are required</w:t>
      </w:r>
    </w:p>
    <w:p>
      <w:pPr>
        <w:pStyle w:val="ListParagraph"/>
        <w:numPr>
          <w:ilvl w:val="0"/>
          <w:numId w:val="2"/>
        </w:numPr>
        <w:spacing w:before="40" w:after="40"/>
      </w:pPr>
      <w:r>
        <w:rPr>
          <w:rFonts w:ascii="Arial" w:cs="Arial" w:eastAsia="Arial" w:hAnsi="Arial"/>
          <w:sz w:val="22"/>
          <w:szCs w:val="22"/>
        </w:rPr>
        <w:t xml:space="preserve">Whether PBC documenting Foundation-facilitated donations creates a control issue</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A4. Token Messaging Guidance — What To Say on Stream</w:t>
      </w:r>
    </w:p>
    <w:p>
      <w:pPr>
        <w:spacing w:before="60" w:after="60"/>
      </w:pPr>
      <w:r>
        <w:rPr>
          <w:rFonts w:ascii="Arial" w:cs="Arial" w:eastAsia="Arial" w:hAnsi="Arial"/>
          <w:sz w:val="22"/>
          <w:szCs w:val="22"/>
        </w:rPr>
        <w:t xml:space="preserve">The token model is pre-attorney-review. Any public statement becomes a record. Founder decision: full transparency on structure, deliberate vagueness on specifics.</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Safe to Say</w:t>
      </w:r>
    </w:p>
    <w:p>
      <w:pPr>
        <w:pStyle w:val="ListParagraph"/>
        <w:numPr>
          <w:ilvl w:val="0"/>
          <w:numId w:val="2"/>
        </w:numPr>
        <w:spacing w:before="40" w:after="40"/>
      </w:pPr>
      <w:r>
        <w:rPr>
          <w:rFonts w:ascii="Arial" w:cs="Arial" w:eastAsia="Arial" w:hAnsi="Arial"/>
          <w:sz w:val="22"/>
          <w:szCs w:val="22"/>
        </w:rPr>
        <w:t xml:space="preserve">Two entities — why they’re separate, what each does</w:t>
      </w:r>
    </w:p>
    <w:p>
      <w:pPr>
        <w:pStyle w:val="ListParagraph"/>
        <w:numPr>
          <w:ilvl w:val="0"/>
          <w:numId w:val="2"/>
        </w:numPr>
        <w:spacing w:before="40" w:after="40"/>
      </w:pPr>
      <w:r>
        <w:rPr>
          <w:rFonts w:ascii="Arial" w:cs="Arial" w:eastAsia="Arial" w:hAnsi="Arial"/>
          <w:sz w:val="22"/>
          <w:szCs w:val="22"/>
        </w:rPr>
        <w:t xml:space="preserve">Foundation takes zero fees, 100% to recipients</w:t>
      </w:r>
    </w:p>
    <w:p>
      <w:pPr>
        <w:pStyle w:val="ListParagraph"/>
        <w:numPr>
          <w:ilvl w:val="0"/>
          <w:numId w:val="2"/>
        </w:numPr>
        <w:spacing w:before="40" w:after="40"/>
      </w:pPr>
      <w:r>
        <w:rPr>
          <w:rFonts w:ascii="Arial" w:cs="Arial" w:eastAsia="Arial" w:hAnsi="Arial"/>
          <w:sz w:val="22"/>
          <w:szCs w:val="22"/>
        </w:rPr>
        <w:t xml:space="preserve">PBC builds the tech, monetizes through cause marketing with local businesses</w:t>
      </w:r>
    </w:p>
    <w:p>
      <w:pPr>
        <w:pStyle w:val="ListParagraph"/>
        <w:numPr>
          <w:ilvl w:val="0"/>
          <w:numId w:val="2"/>
        </w:numPr>
        <w:spacing w:before="40" w:after="40"/>
      </w:pPr>
      <w:r>
        <w:rPr>
          <w:rFonts w:ascii="Arial" w:cs="Arial" w:eastAsia="Arial" w:hAnsi="Arial"/>
          <w:sz w:val="22"/>
          <w:szCs w:val="22"/>
        </w:rPr>
        <w:t xml:space="preserve">Self-funding Season 1, actively raising, competing in hackathon</w:t>
      </w:r>
    </w:p>
    <w:p>
      <w:pPr>
        <w:pStyle w:val="ListParagraph"/>
        <w:numPr>
          <w:ilvl w:val="0"/>
          <w:numId w:val="2"/>
        </w:numPr>
        <w:spacing w:before="40" w:after="40"/>
      </w:pPr>
      <w:r>
        <w:rPr>
          <w:rFonts w:ascii="Arial" w:cs="Arial" w:eastAsia="Arial" w:hAnsi="Arial"/>
          <w:sz w:val="22"/>
          <w:szCs w:val="22"/>
        </w:rPr>
        <w:t xml:space="preserve">Hub operator vision — creator-operators contracted like athletes</w:t>
      </w:r>
    </w:p>
    <w:p>
      <w:pPr>
        <w:pStyle w:val="ListParagraph"/>
        <w:numPr>
          <w:ilvl w:val="0"/>
          <w:numId w:val="2"/>
        </w:numPr>
        <w:spacing w:before="40" w:after="40"/>
      </w:pPr>
      <w:r>
        <w:rPr>
          <w:rFonts w:ascii="Arial" w:cs="Arial" w:eastAsia="Arial" w:hAnsi="Arial"/>
          <w:sz w:val="22"/>
          <w:szCs w:val="22"/>
        </w:rPr>
        <w:t xml:space="preserve">On-chain receipts, permanent proof of impact</w:t>
      </w:r>
    </w:p>
    <w:p>
      <w:pPr>
        <w:pStyle w:val="ListParagraph"/>
        <w:numPr>
          <w:ilvl w:val="0"/>
          <w:numId w:val="2"/>
        </w:numPr>
        <w:spacing w:before="40" w:after="40"/>
      </w:pPr>
      <w:r>
        <w:rPr>
          <w:rFonts w:ascii="Arial" w:cs="Arial" w:eastAsia="Arial" w:hAnsi="Arial"/>
          <w:sz w:val="22"/>
          <w:szCs w:val="22"/>
        </w:rPr>
        <w:t xml:space="preserve">Iowa requires no charitable solicitation registration, 501(c)(3) pending</w:t>
      </w:r>
    </w:p>
    <w:p>
      <w:pPr>
        <w:pStyle w:val="ListParagraph"/>
        <w:numPr>
          <w:ilvl w:val="0"/>
          <w:numId w:val="2"/>
        </w:numPr>
        <w:spacing w:before="40" w:after="40"/>
      </w:pPr>
      <w:r>
        <w:rPr>
          <w:rFonts w:ascii="Arial" w:cs="Arial" w:eastAsia="Arial" w:hAnsi="Arial"/>
          <w:sz w:val="22"/>
          <w:szCs w:val="22"/>
        </w:rPr>
        <w:t xml:space="preserve">“Donors who give through Glimpse will be recognized on-chain and rewarded”</w:t>
      </w:r>
    </w:p>
    <w:p>
      <w:pPr>
        <w:pStyle w:val="ListParagraph"/>
        <w:numPr>
          <w:ilvl w:val="0"/>
          <w:numId w:val="2"/>
        </w:numPr>
        <w:spacing w:before="40" w:after="40"/>
      </w:pPr>
      <w:r>
        <w:rPr>
          <w:rFonts w:ascii="Arial" w:cs="Arial" w:eastAsia="Arial" w:hAnsi="Arial"/>
          <w:sz w:val="22"/>
          <w:szCs w:val="22"/>
        </w:rPr>
        <w:t xml:space="preserve">“We’re designing a token model that aligns incentives — details being finalized with legal counsel”</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Do Not Say</w:t>
      </w:r>
    </w:p>
    <w:p>
      <w:pPr>
        <w:pStyle w:val="ListParagraph"/>
        <w:numPr>
          <w:ilvl w:val="0"/>
          <w:numId w:val="2"/>
        </w:numPr>
        <w:spacing w:before="40" w:after="40"/>
      </w:pPr>
      <w:r>
        <w:rPr>
          <w:rFonts w:ascii="Arial" w:cs="Arial" w:eastAsia="Arial" w:hAnsi="Arial"/>
          <w:sz w:val="22"/>
          <w:szCs w:val="22"/>
        </w:rPr>
        <w:t xml:space="preserve">Specific percentages (0.5% per period, 10% supply, 10% revenue)</w:t>
      </w:r>
    </w:p>
    <w:p>
      <w:pPr>
        <w:pStyle w:val="ListParagraph"/>
        <w:numPr>
          <w:ilvl w:val="0"/>
          <w:numId w:val="2"/>
        </w:numPr>
        <w:spacing w:before="40" w:after="40"/>
      </w:pPr>
      <w:r>
        <w:rPr>
          <w:rFonts w:ascii="Arial" w:cs="Arial" w:eastAsia="Arial" w:hAnsi="Arial"/>
          <w:sz w:val="22"/>
          <w:szCs w:val="22"/>
        </w:rPr>
        <w:t xml:space="preserve">Total supply numbers (1 billion)</w:t>
      </w:r>
    </w:p>
    <w:p>
      <w:pPr>
        <w:pStyle w:val="ListParagraph"/>
        <w:numPr>
          <w:ilvl w:val="0"/>
          <w:numId w:val="2"/>
        </w:numPr>
        <w:spacing w:before="40" w:after="40"/>
      </w:pPr>
      <w:r>
        <w:rPr>
          <w:rFonts w:ascii="Arial" w:cs="Arial" w:eastAsia="Arial" w:hAnsi="Arial"/>
          <w:sz w:val="22"/>
          <w:szCs w:val="22"/>
        </w:rPr>
        <w:t xml:space="preserve">Buyback mechanics or flywheel language (“price pressure up”)</w:t>
      </w:r>
    </w:p>
    <w:p>
      <w:pPr>
        <w:pStyle w:val="ListParagraph"/>
        <w:numPr>
          <w:ilvl w:val="0"/>
          <w:numId w:val="2"/>
        </w:numPr>
        <w:spacing w:before="40" w:after="40"/>
      </w:pPr>
      <w:r>
        <w:rPr>
          <w:rFonts w:ascii="Arial" w:cs="Arial" w:eastAsia="Arial" w:hAnsi="Arial"/>
          <w:sz w:val="22"/>
          <w:szCs w:val="22"/>
        </w:rPr>
        <w:t xml:space="preserve">Anything that frames the token as an investment or implies price appreciation</w:t>
      </w:r>
    </w:p>
    <w:p>
      <w:pPr>
        <w:spacing w:before="80" w:after="80"/>
      </w:pPr>
      <w:r>
        <w:t xml:space="preserve"/>
      </w:r>
    </w:p>
    <w:p>
      <w:pPr>
        <w:pStyle w:val="Heading2"/>
        <w:spacing w:before="280" w:after="80"/>
      </w:pPr>
      <w:r>
        <w:rPr>
          <w:rFonts w:ascii="Arial" w:cs="Arial" w:eastAsia="Arial" w:hAnsi="Arial"/>
          <w:b/>
          <w:bCs/>
          <w:color w:val="2E86C1"/>
          <w:sz w:val="24"/>
          <w:szCs w:val="24"/>
        </w:rPr>
        <w:t xml:space="preserve">Recommended Non-Answer</w:t>
      </w:r>
    </w:p>
    <w:p>
      <w:pPr>
        <w:spacing w:before="60" w:after="60"/>
      </w:pPr>
      <w:r>
        <w:rPr>
          <w:rFonts w:ascii="Arial" w:cs="Arial" w:eastAsia="Arial" w:hAnsi="Arial"/>
          <w:i/>
          <w:iCs/>
          <w:sz w:val="22"/>
          <w:szCs w:val="22"/>
        </w:rPr>
        <w:t xml:space="preserve">“We have a token. Donors who give through Glimpse will be recognized on-chain and rewarded. The exact mechanics are being built with attorneys to make sure we do it right. I’m not going to promise you numbers today because I don’t want to be that guy. What I will tell you is the structure is designed so that real giving creates real value — not speculation.”</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A5. Recipient Protection — Season 1 Model</w:t>
      </w:r>
    </w:p>
    <w:p>
      <w:pPr>
        <w:spacing w:before="60" w:after="60"/>
      </w:pPr>
      <w:r>
        <w:rPr>
          <w:rFonts w:ascii="Arial" w:cs="Arial" w:eastAsia="Arial" w:hAnsi="Arial"/>
          <w:sz w:val="22"/>
          <w:szCs w:val="22"/>
        </w:rPr>
        <w:t xml:space="preserve">Donors do not communicate directly with recipients at launch. The founder acts as moderator on the recipient side of every conversation. Responses to donors may include written notes, voice recordings, video messages, or text — chosen based on the recipient’s comfort and circumstances. This human buffer protects recipients from unsolicited contact, power-dynamic exploitation, and unwanted public exposure while still delivering the connection that drives sustained giving.</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A6. Stream Talking Points — Recommended Beat Order</w:t>
      </w:r>
    </w:p>
    <w:p>
      <w:pPr>
        <w:spacing w:before="60" w:after="60"/>
      </w:pPr>
      <w:r>
        <w:rPr>
          <w:rFonts w:ascii="Arial" w:cs="Arial" w:eastAsia="Arial" w:hAnsi="Arial"/>
          <w:sz w:val="22"/>
          <w:szCs w:val="22"/>
        </w:rPr>
        <w:t xml:space="preserve">If presenting the business model on a livestream, hit these beats in order:</w:t>
      </w:r>
    </w:p>
    <w:p>
      <w:pPr>
        <w:pStyle w:val="ListParagraph"/>
        <w:numPr>
          <w:ilvl w:val="0"/>
          <w:numId w:val="4"/>
        </w:numPr>
        <w:spacing w:before="40" w:after="40"/>
      </w:pPr>
      <w:r>
        <w:rPr>
          <w:rFonts w:ascii="Arial" w:cs="Arial" w:eastAsia="Arial" w:hAnsi="Arial"/>
          <w:b/>
          <w:sz w:val="22"/>
          <w:szCs w:val="22"/>
        </w:rPr>
        <w:t>The problem</w:t>
      </w:r>
      <w:r>
        <w:rPr>
          <w:rFonts w:ascii="Arial" w:cs="Arial" w:eastAsia="Arial" w:hAnsi="Arial"/>
          <w:sz w:val="22"/>
          <w:szCs w:val="22"/>
        </w:rPr>
        <w:t xml:space="preserve"> — Emmanuel story, the Forbes list, GoFundMe takes 3%</w:t>
      </w:r>
    </w:p>
    <w:p>
      <w:pPr>
        <w:pStyle w:val="ListParagraph"/>
        <w:numPr>
          <w:ilvl w:val="0"/>
          <w:numId w:val="4"/>
        </w:numPr>
        <w:spacing w:before="40" w:after="40"/>
      </w:pPr>
      <w:r>
        <w:rPr>
          <w:rFonts w:ascii="Arial" w:cs="Arial" w:eastAsia="Arial" w:hAnsi="Arial"/>
          <w:b/>
          <w:sz w:val="22"/>
          <w:szCs w:val="22"/>
        </w:rPr>
        <w:t>The solution</w:t>
      </w:r>
      <w:r>
        <w:rPr>
          <w:rFonts w:ascii="Arial" w:cs="Arial" w:eastAsia="Arial" w:hAnsi="Arial"/>
          <w:sz w:val="22"/>
          <w:szCs w:val="22"/>
        </w:rPr>
        <w:t xml:space="preserve"> — Glimpse, on-chain, zero fees, permanent proof, real human connection</w:t>
      </w:r>
    </w:p>
    <w:p>
      <w:pPr>
        <w:pStyle w:val="ListParagraph"/>
        <w:numPr>
          <w:ilvl w:val="0"/>
          <w:numId w:val="4"/>
        </w:numPr>
        <w:spacing w:before="40" w:after="40"/>
      </w:pPr>
      <w:r>
        <w:rPr>
          <w:rFonts w:ascii="Arial" w:cs="Arial" w:eastAsia="Arial" w:hAnsi="Arial"/>
          <w:b/>
          <w:sz w:val="22"/>
          <w:szCs w:val="22"/>
        </w:rPr>
        <w:t>The structure</w:t>
      </w:r>
      <w:r>
        <w:rPr>
          <w:rFonts w:ascii="Arial" w:cs="Arial" w:eastAsia="Arial" w:hAnsi="Arial"/>
          <w:sz w:val="22"/>
          <w:szCs w:val="22"/>
        </w:rPr>
        <w:t xml:space="preserve"> — two entities, why they’re separate, what each does</w:t>
      </w:r>
    </w:p>
    <w:p>
      <w:pPr>
        <w:pStyle w:val="ListParagraph"/>
        <w:numPr>
          <w:ilvl w:val="0"/>
          <w:numId w:val="4"/>
        </w:numPr>
        <w:spacing w:before="40" w:after="40"/>
      </w:pPr>
      <w:r>
        <w:rPr>
          <w:rFonts w:ascii="Arial" w:cs="Arial" w:eastAsia="Arial" w:hAnsi="Arial"/>
          <w:b/>
          <w:sz w:val="22"/>
          <w:szCs w:val="22"/>
        </w:rPr>
        <w:t>Where we are</w:t>
      </w:r>
      <w:r>
        <w:rPr>
          <w:rFonts w:ascii="Arial" w:cs="Arial" w:eastAsia="Arial" w:hAnsi="Arial"/>
          <w:sz w:val="22"/>
          <w:szCs w:val="22"/>
        </w:rPr>
        <w:t xml:space="preserve"> — self-funded, app live on Solana, hackathon competition, raising</w:t>
      </w:r>
    </w:p>
    <w:p>
      <w:pPr>
        <w:pStyle w:val="ListParagraph"/>
        <w:numPr>
          <w:ilvl w:val="0"/>
          <w:numId w:val="4"/>
        </w:numPr>
        <w:spacing w:before="40" w:after="40"/>
      </w:pPr>
      <w:r>
        <w:rPr>
          <w:rFonts w:ascii="Arial" w:cs="Arial" w:eastAsia="Arial" w:hAnsi="Arial"/>
          <w:b/>
          <w:sz w:val="22"/>
          <w:szCs w:val="22"/>
        </w:rPr>
        <w:t>Where we’re going</w:t>
      </w:r>
      <w:r>
        <w:rPr>
          <w:rFonts w:ascii="Arial" w:cs="Arial" w:eastAsia="Arial" w:hAnsi="Arial"/>
          <w:sz w:val="22"/>
          <w:szCs w:val="22"/>
        </w:rPr>
        <w:t xml:space="preserve"> — hub operators in other cities by Season 2, city partner revenue, real scale in 2027</w:t>
      </w:r>
    </w:p>
    <w:p>
      <w:pPr>
        <w:pStyle w:val="ListParagraph"/>
        <w:numPr>
          <w:ilvl w:val="0"/>
          <w:numId w:val="4"/>
        </w:numPr>
        <w:spacing w:before="40" w:after="40"/>
      </w:pPr>
      <w:r>
        <w:rPr>
          <w:rFonts w:ascii="Arial" w:cs="Arial" w:eastAsia="Arial" w:hAnsi="Arial"/>
          <w:b/>
          <w:sz w:val="22"/>
          <w:szCs w:val="22"/>
        </w:rPr>
        <w:t>The token</w:t>
      </w:r>
      <w:r>
        <w:rPr>
          <w:rFonts w:ascii="Arial" w:cs="Arial" w:eastAsia="Arial" w:hAnsi="Arial"/>
          <w:sz w:val="22"/>
          <w:szCs w:val="22"/>
        </w:rPr>
        <w:t xml:space="preserve"> — exists, rewards donors, details being finalized with legal counsel</w:t>
      </w:r>
    </w:p>
    <w:p>
      <w:pPr>
        <w:pStyle w:val="ListParagraph"/>
        <w:numPr>
          <w:ilvl w:val="0"/>
          <w:numId w:val="4"/>
        </w:numPr>
        <w:spacing w:before="40" w:after="40"/>
      </w:pPr>
      <w:r>
        <w:rPr>
          <w:rFonts w:ascii="Arial" w:cs="Arial" w:eastAsia="Arial" w:hAnsi="Arial"/>
          <w:b/>
          <w:sz w:val="22"/>
          <w:szCs w:val="22"/>
        </w:rPr>
        <w:t>The close</w:t>
      </w:r>
      <w:r>
        <w:rPr>
          <w:rFonts w:ascii="Arial" w:cs="Arial" w:eastAsia="Arial" w:hAnsi="Arial"/>
          <w:sz w:val="22"/>
          <w:szCs w:val="22"/>
        </w:rPr>
        <w:t xml:space="preserve"> — “My son is one year old. I’m building the world I want him to grow up in.”</w:t>
      </w:r>
    </w:p>
    <w:p>
      <w:pPr>
        <w:spacing w:before="80" w:after="80"/>
      </w:pPr>
      <w:r>
        <w:t xml:space="preserve"/>
      </w:r>
    </w:p>
    <w:p>
      <w:pPr>
        <w:pStyle w:val="Heading1"/>
        <w:pBdr>
          <w:bottom w:val="single" w:color="2E86C1" w:sz="6" w:space="4"/>
        </w:pBdr>
        <w:spacing w:before="360" w:after="120"/>
      </w:pPr>
      <w:r>
        <w:rPr>
          <w:rFonts w:ascii="Arial" w:cs="Arial" w:eastAsia="Arial" w:hAnsi="Arial"/>
          <w:b/>
          <w:bCs/>
          <w:color w:val="1A3C5E"/>
          <w:sz w:val="28"/>
          <w:szCs w:val="28"/>
        </w:rPr>
        <w:t xml:space="preserve">A7. Ready Responses — Tough Questions to Expect</w:t>
      </w:r>
    </w:p>
    <w:p>
      <w:pPr>
        <w:spacing w:before="60" w:after="60"/>
      </w:pPr>
      <w:r>
        <w:rPr>
          <w:rFonts w:ascii="Arial" w:cs="Arial" w:eastAsia="Arial" w:hAnsi="Arial"/>
          <w:sz w:val="22"/>
          <w:szCs w:val="22"/>
        </w:rPr>
        <w:t xml:space="preserve">Prepared responses for the hardest questions that may come up on stream:</w:t>
      </w:r>
    </w:p>
    <w:p>
      <w:pPr>
        <w:spacing w:before="80" w:after="80"/>
      </w:pPr>
      <w:r>
        <w:t xml:space="preserve"/>
      </w:r>
    </w:p>
    <w:p>
      <w:pPr>
        <w:spacing w:before="60" w:after="40"/>
      </w:pPr>
      <w:r>
        <w:rPr>
          <w:rFonts w:ascii="Arial" w:cs="Arial" w:eastAsia="Arial" w:hAnsi="Arial"/>
          <w:b/>
          <w:color w:val="1A3C5E"/>
          <w:sz w:val="22"/>
          <w:szCs w:val="22"/>
        </w:rPr>
        <w:t xml:space="preserve">“If you own both entities, aren’t you both sides of the deal?”</w:t>
      </w:r>
    </w:p>
    <w:p>
      <w:pPr>
        <w:spacing w:before="20" w:after="60"/>
      </w:pPr>
      <w:r>
        <w:rPr>
          <w:rFonts w:ascii="Arial" w:cs="Arial" w:eastAsia="Arial" w:hAnsi="Arial"/>
          <w:i/>
          <w:sz w:val="22"/>
          <w:szCs w:val="22"/>
        </w:rPr>
        <w:t xml:space="preserve">“I founded both, but the Foundation will have an independent board. That’s an IRS requirement, and it’s the right thing. The whole point is that no single person controls both sides.”</w:t>
      </w:r>
    </w:p>
    <w:p>
      <w:pPr>
        <w:spacing w:before="80" w:after="80"/>
      </w:pPr>
      <w:r>
        <w:t xml:space="preserve"/>
      </w:r>
    </w:p>
    <w:p>
      <w:pPr>
        <w:spacing w:before="60" w:after="40"/>
      </w:pPr>
      <w:r>
        <w:rPr>
          <w:rFonts w:ascii="Arial" w:cs="Arial" w:eastAsia="Arial" w:hAnsi="Arial"/>
          <w:b/>
          <w:color w:val="1A3C5E"/>
          <w:sz w:val="22"/>
          <w:szCs w:val="22"/>
        </w:rPr>
        <w:t xml:space="preserve">“How does this survive until you get city partners?”</w:t>
      </w:r>
    </w:p>
    <w:p>
      <w:pPr>
        <w:spacing w:before="20" w:after="60"/>
      </w:pPr>
      <w:r>
        <w:rPr>
          <w:rFonts w:ascii="Arial" w:cs="Arial" w:eastAsia="Arial" w:hAnsi="Arial"/>
          <w:i/>
          <w:sz w:val="22"/>
          <w:szCs w:val="22"/>
        </w:rPr>
        <w:t xml:space="preserve">“Season 1 is self-funded. I’m the first hub operator. Every donation goes through me personally. We’re actively raising and competing in the Pump.fun hackathon. Revenue model kicks in with city partners in Season 2.”</w:t>
      </w:r>
    </w:p>
    <w:p>
      <w:pPr>
        <w:spacing w:before="80" w:after="80"/>
      </w:pPr>
      <w:r>
        <w:t xml:space="preserve"/>
      </w:r>
    </w:p>
    <w:p>
      <w:pPr>
        <w:spacing w:before="60" w:after="40"/>
      </w:pPr>
      <w:r>
        <w:rPr>
          <w:rFonts w:ascii="Arial" w:cs="Arial" w:eastAsia="Arial" w:hAnsi="Arial"/>
          <w:b/>
          <w:color w:val="1A3C5E"/>
          <w:sz w:val="22"/>
          <w:szCs w:val="22"/>
        </w:rPr>
        <w:t xml:space="preserve">“Who picks the recipients?”</w:t>
      </w:r>
    </w:p>
    <w:p>
      <w:pPr>
        <w:spacing w:before="20" w:after="60"/>
      </w:pPr>
      <w:r>
        <w:rPr>
          <w:rFonts w:ascii="Arial" w:cs="Arial" w:eastAsia="Arial" w:hAnsi="Arial"/>
          <w:i/>
          <w:sz w:val="22"/>
          <w:szCs w:val="22"/>
        </w:rPr>
        <w:t xml:space="preserve">“Right now, I find the people. I verify their situation. I’m the one on the ground. That’s what a hub operator does. The Foundation structure exists so that as we grow, every hub has the same accountability I hold myself to.”</w:t>
      </w:r>
    </w:p>
    <w:p>
      <w:pPr>
        <w:spacing w:before="80" w:after="80"/>
      </w:pPr>
      <w:r>
        <w:t xml:space="preserve"/>
      </w:r>
    </w:p>
    <w:p>
      <w:pPr>
        <w:spacing w:before="60" w:after="40"/>
      </w:pPr>
      <w:r>
        <w:rPr>
          <w:rFonts w:ascii="Arial" w:cs="Arial" w:eastAsia="Arial" w:hAnsi="Arial"/>
          <w:b/>
          <w:color w:val="1A3C5E"/>
          <w:sz w:val="22"/>
          <w:szCs w:val="22"/>
        </w:rPr>
        <w:t xml:space="preserve">“What if you get hit by a bus?”</w:t>
      </w:r>
    </w:p>
    <w:p>
      <w:pPr>
        <w:spacing w:before="20" w:after="60"/>
      </w:pPr>
      <w:r>
        <w:rPr>
          <w:rFonts w:ascii="Arial" w:cs="Arial" w:eastAsia="Arial" w:hAnsi="Arial"/>
          <w:i/>
          <w:sz w:val="22"/>
          <w:szCs w:val="22"/>
        </w:rPr>
        <w:t xml:space="preserve">“Right now, it’s me. That’s the reality. The entity structure, the on-chain receipts, the open codebase — all of that exists so the mission survives even if I don’t. Building the board and bringing on hub operators is how this becomes bigger than one person.”</w:t>
      </w:r>
    </w:p>
    <w:p>
      <w:pPr>
        <w:spacing w:before="80" w:after="80"/>
      </w:pPr>
      <w:r>
        <w:t xml:space="preserve"/>
      </w:r>
    </w:p>
    <w:p>
      <w:pPr>
        <w:spacing w:before="60" w:after="40"/>
      </w:pPr>
      <w:r>
        <w:rPr>
          <w:rFonts w:ascii="Arial" w:cs="Arial" w:eastAsia="Arial" w:hAnsi="Arial"/>
          <w:b/>
          <w:color w:val="1A3C5E"/>
          <w:sz w:val="22"/>
          <w:szCs w:val="22"/>
        </w:rPr>
        <w:t xml:space="preserve">“Why would a local business pay you?”</w:t>
      </w:r>
    </w:p>
    <w:p>
      <w:pPr>
        <w:spacing w:before="20" w:after="60"/>
      </w:pPr>
      <w:r>
        <w:rPr>
          <w:rFonts w:ascii="Arial" w:cs="Arial" w:eastAsia="Arial" w:hAnsi="Arial"/>
          <w:i/>
          <w:sz w:val="22"/>
          <w:szCs w:val="22"/>
        </w:rPr>
        <w:t xml:space="preserve">“We craft their story, tie it to real impact in their community, and generate leads. They get brand awareness backed by on-chain proof, not promises. Most local businesses spend that money on Facebook ads that don’t work. This actually works because it’s real.”</w:t>
      </w:r>
    </w:p>
    <w:p>
      <w:pPr>
        <w:spacing w:before="80" w:after="80"/>
      </w:pPr>
      <w:r>
        <w:t xml:space="preserve"/>
      </w:r>
    </w:p>
    <w:p>
      <w:pPr>
        <w:pBdr>
          <w:top w:val="single" w:color="2E86C1" w:sz="4" w:space="4"/>
        </w:pBdr>
        <w:spacing w:before="480"/>
        <w:jc w:val="center"/>
      </w:pPr>
      <w:r>
        <w:rPr>
          <w:rFonts w:ascii="Arial" w:cs="Arial" w:eastAsia="Arial" w:hAnsi="Arial"/>
          <w:i/>
          <w:iCs/>
          <w:color w:val="888888"/>
          <w:sz w:val="20"/>
          <w:szCs w:val="20"/>
        </w:rPr>
        <w:t xml:space="preserve">Amendment added March 4, 2026 — Glimpse Business Overview v1.1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Glimpse — Confidential Business Overview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2026-03-04T15:19:50.127Z</dcterms:created>
  <dcterms:modified xsi:type="dcterms:W3CDTF">2026-03-04T15:19:50.128Z</dcterms:modified>
</cp:coreProperties>
</file>

<file path=docProps/custom.xml><?xml version="1.0" encoding="utf-8"?>
<Properties xmlns="http://schemas.openxmlformats.org/officeDocument/2006/custom-properties" xmlns:vt="http://schemas.openxmlformats.org/officeDocument/2006/docPropsVTypes"/>
</file>