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TALLY READING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GDPR Code Changes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Implementation Plan</w:t>
      </w:r>
    </w:p>
    <w:p>
      <w:pPr>
        <w:pBdr>
          <w:top w:val="single" w:color="1A5276" w:sz="2" w:space="12"/>
        </w:pBdr>
        <w:spacing w:before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Scratch IT LTD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25 February 2026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 ref: GDPR-CODE-PLAN-001</w:t>
      </w:r>
    </w:p>
    <w:p>
      <w:pPr>
        <w:sectPr>
          <w:pgSz w:w="11906" w:h="16838" w:orient="portrait"/>
          <w:pgMar w:top="432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details the code changes required to bring Tally Reading into full compliance with UK GDPR. Each section covers a discrete workstream with implementation steps, affected files, and priority. Items are ordered by GDPR risk — highest priority first.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changes fall into a new database migration (0025), route-level endpoint additions, middleware enhancements, frontend UI updates, and scheduled task additions. Many already have partial implementations; this plan addresses the gaps.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workstreams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migration 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migrations/0025_gdpr_compliance.sql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route 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src/routes/dataRights.js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Estimated total effort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development days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priority items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(must-have before schools go live)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priority items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priority items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Database Migration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migrations/0025_gdpr_compliance.sql to add all GDPR-related columns and tables in a single migration. This underpins every other workstream.</w:t>
      </w:r>
    </w:p>
    <w:p>
      <w:pPr>
        <w:pStyle w:val="Heading3"/>
      </w:pPr>
      <w:r>
        <w:rPr>
          <w:rFonts w:ascii="Arial" w:cs="Arial" w:eastAsia="Arial" w:hAnsi="Arial"/>
        </w:rPr>
        <w:t xml:space="preserve">Schema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processing_restricted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18 restriction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ai_opt_out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Per-student AI opt-out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consent_given_at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(datetime)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school accepted DPA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consent_version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of DPA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data_rights_log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(new 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below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for SAR / erasure requests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data_rights_log Table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table for tracking data subject rights requests, separate from the general audit log. This gives you a clear, queryable record for ICO reporting if needed.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 scoping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| erasure | rectification | restriction | portability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|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to students or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who initiated the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DEFAULT pending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| in_progress | completed | rejected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the request was fulfilled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notes on the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DEFAULT now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timestamp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Hard Delete — Right to Erasure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DELETE /api/students/:id/erase 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Hard-delete reading_sessions for student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Hard-delete student_preferences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Hard-delete the student row itself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DELETE /api/users/:id/erase 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routes/users.js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Revoke refresh tokens + hard-delete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routes/users.js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erasure in data_rights_log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routes/students.js, users.js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confirmation step (require ?confirm=true)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routes/students.js, users.js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soft-delete endpoints (PUT is_active = 0) should remain for day-to-day use. The new /erase endpoints are specifically for GDPR Article 17 requests and perform irreversible hard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 the endpoint with requireAdmin() — only admins and owners should process erasure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in order: reading_sessions → student_preferences → students (respecting FK constraints).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D1 batch() call (within the 100-statement limit) to make it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to data_rights_log with request_type = 'erasure' before performing the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a 200 with a summary of deleted record counts (not the deleted data itself).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Audit log entries referencing the deleted student/user should be anonymised (replace entity_id with 'erased') rather than deleted, so the audit trail of the erasure action itself is preserved.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Subject Access Request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GET /api/students/:id/export 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student profile 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all reading_sessions with book titles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student_preferences (genres)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 relevant audit_log entries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as JSON with Content-Disposition header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GET /api/users/:id/export for staff SAR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routes/users.js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SAR in data_rights_log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routes/students.js, users.js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15 requires providing all personal data held on a data subject in a commonly used, machine-readable format. JSON is ideal for this.</w:t>
      </w:r>
    </w:p>
    <w:p>
      <w:pPr>
        <w:pStyle w:val="Heading3"/>
      </w:pPr>
      <w:r>
        <w:rPr>
          <w:rFonts w:ascii="Arial" w:cs="Arial" w:eastAsia="Arial" w:hAnsi="Arial"/>
        </w:rPr>
        <w:t xml:space="preserve">Student export payload structure: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student: name, class, year group, reading levels, SEN/PP/EAL/FSM flags, notes, created/updated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preferences: array of genre preferences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reading_sessions: array with date, book title, book author, assessment, notes, recorded_by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audit_trail: array of audit log entries referencing this student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metadata: export date, organization name, data controller identity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 control: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requireAdmin() for student exports (schools process their own SARs). requireOwner() for user exports.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Processing Restriction Flag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processing_restricted column (migration)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migrations/0025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PUT /api/students/:id/restrict endpoint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session creation for restricted 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AI recommendations for restricted 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routes/books.js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visual indicator on restricted 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StudentCard.js, StudentList.js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restriction changes in data_rights_log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18 gives data subjects the right to restrict processing. When restricted, you may store the data but must not process it further. In practice this means: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student still appears in class lists (storage is permitted)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new reading sessions can be recorded against them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AI recommendations generated for them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session data is preserved but excluded from statistics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 location: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the restriction check in the session creation handler in routes/students.js (POST /api/students/:id/sessions) and in the recommendations handler in routes/books.js (POST /api/books/recommendations).</w:t>
      </w:r>
    </w:p>
    <w:p>
      <w:pPr>
        <w:pStyle w:val="Heading1"/>
      </w:pPr>
      <w:r>
        <w:rPr>
          <w:rFonts w:ascii="Arial" w:cs="Arial" w:eastAsia="Arial" w:hAnsi="Arial"/>
        </w:rPr>
        <w:t xml:space="preserve">5. Per-Student AI Opt-Out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ai_opt_out column (migration)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migrations/0025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toggle in StudentProfile 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StudentProfile.js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ai_opt_out before generating recommendations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routes/books.js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clear message when opted 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routes/books.js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Exclude opted-out students from batch operations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services/aiService.js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distinct from processing_restricted. A student can have AI opt-out enabled while still having reading sessions recorded normally. Schools may want to use the reading tracker without AI features for specific students, for example where a parent objects to AI processing.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 placement: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toggle switch in src/components/students/StudentProfile.js alongside existing student settings. Label it clearly: "AI Book Recommendations" with helper text explaining that disabling this prevents the student's reading data from being sent to AI providers.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check: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routes/books.js at the recommendations endpoint (~line 408), after fetching the student profile, check if ai_opt_out is set. If so, return a 200 with an empty recommendations array and a message field explaining opt-out is active.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Audit Logging Expansion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to student CRUD routes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to session creation/deletion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routes/students.js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to class management routes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routes/classes.js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to book import operations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routes/books.js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to settings changes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routes/settings.js, organization.js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data rights requests (SAR, erasure)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routes/dataRights.js or inline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Currently, audit logging only covers user CRUD operations (create, update, delete in routes/users.js). Student operations, session recording, and settings changes are unlogged. For GDPR accountability (Article 5(2)), you need to demonstrate what data was accessed and changed.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Pattern: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existing auditLog() middleware in src/middleware/tenant.js works well. Just add it to the route definitions in the same way it's already used in routes/users.js. For example: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studentsRouter.post('/', requireTeacher(), auditLog('create', 'student'), async (c) =&gt; { ... })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 on student and session routes first (High/Medium priority), as these involve children's personal data. Class and book operations are lower priority since they don't directly contain personal data.</w:t>
      </w:r>
    </w:p>
    <w:p>
      <w:pPr>
        <w:pStyle w:val="Heading1"/>
      </w:pPr>
      <w:r>
        <w:rPr>
          <w:rFonts w:ascii="Arial" w:cs="Arial" w:eastAsia="Arial" w:hAnsi="Arial"/>
        </w:rPr>
        <w:t xml:space="preserve">7. Privacy Policy in App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privacy policy link to app footer/Header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Header.js or App.js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privacy policy link to LandingPage footer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LandingPage.js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privacy link before email signup 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LandingPage.js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privacy/terms links to Login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 privacy policy at /privacy 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App.js, new component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UK GDPR Article 13 requires that privacy information is provided at the point of data collection. The landing page email signup and login page are the two primary collection points.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Landing page: Add a footer section with links to Privacy Policy and Terms of Service. Add a note near the email signup: "By signing up, you agree to our Privacy Policy."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page: Add a discrete link to the privacy policy below the login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Authenticated app: Add a privacy policy link in the Settings page (SettingsPage.js) or as a persistent footer link.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serving the privacy policy as a React route (/privacy) that renders the content from docs/gdpr/01-privacy-policy.md, or simply link to a hosted version on your website.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Remaining Data Retention Items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daily cron already handles token cleanup, login attempt purging, audit log IP anonymisation, and rate limit cleanup (added 25 Feb 2026). The remaining items are: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100"/>
        <w:gridCol w:w="26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hard-delete soft-deleted students after 90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hard-delete soft-deleted users after 90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hard-delete inactive orgs after 90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Purge R2 book cover cache entries older than 1 year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worker.js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Implementation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90-day auto-deletion of soft-deleted records is the most important item here. When a school removes a student or deactivates a user, the soft-deleted record currently sits in the database indefinitely. Add to the scheduled handler: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Delete students where is_active = 0 and updated_at &lt; 90 days ago, cascading through reading_sessions and student_preferences. Same pattern for users (cascade through refresh_tokens). For organizations, check that no active users or students remain before deletion.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cascading delete for students should follow the same deletion order as the /erase endpoint (sessions → preferences → student) to respect FK constraints within the D1 batch limit.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Recommended Implementation Order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through these in dependency order. The migration must come first as everything else relies on the new columns and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500"/>
        <w:gridCol w:w="3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migration (0025)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delete / erasure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SAR export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restriction flag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opt-out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logging expansion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 UI 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automation (soft-delete cleanup)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 2–3 (same deletion logic)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Testing Guidance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workstream should include unit tests in src/__tests__/unit/. Key test scenarios: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 delete: verify all related records are removed, verify audit log entry is created, verify it requires admin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SAR export: verify all data categories are included, verify tenant isolation (can't export another org's student), verify JSON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Processing restriction: verify sessions can't be created, verify AI recommendations blocked, verify flag persists across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opt-out: verify recommendations return empty when opted out, verify toggle updates the database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verify soft-deleted records are purged after 90 days, verify active records are untouched</w:t>
      </w:r>
    </w:p>
    <w:p>
      <w:pPr>
        <w:pStyle w:val="Heading1"/>
      </w:pPr>
      <w:r>
        <w:rPr>
          <w:rFonts w:ascii="Arial" w:cs="Arial" w:eastAsia="Arial" w:hAnsi="Arial"/>
        </w:rPr>
        <w:t xml:space="preserve">Complete File Reference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files that will be created or modified: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CREATE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migrations/0025_gdpr_compliance.sql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columns + data_rights_log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src/routes/students.js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Erase + export + restrict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src/routes/users.js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Erase + export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src/routes/books.js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opt-out + restriction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src/worker.js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cleanup in scheduled handler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src/components/students/StudentProfile.js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opt-out toggle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src/components/students/StudentCard.js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Restriction visual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src/components/Header.js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src/components/LandingPage.js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 footer + signup notice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src/components/Login.js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 policy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src/routes/classes.js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src/routes/settings.js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middleware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MODIFY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src/routes/organization.js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auditLog() middleware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Scratch IT LTD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Tally Reading — GDPR Code Changes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2026-02-25T12:42:11.533Z</dcterms:created>
  <dcterms:modified xsi:type="dcterms:W3CDTF">2026-02-25T12:42:11.534Z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