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EBC" w:rsidRPr="00901B46" w:rsidRDefault="00C0185F" w:rsidP="002A5F75">
      <w:pPr>
        <w:spacing w:line="480" w:lineRule="auto"/>
        <w:jc w:val="center"/>
        <w:rPr>
          <w:rFonts w:ascii="Cambria" w:hAnsi="Cambria"/>
          <w:color w:val="00B050"/>
          <w:sz w:val="28"/>
          <w:szCs w:val="28"/>
        </w:rPr>
      </w:pPr>
      <w:r w:rsidRPr="00901B46">
        <w:rPr>
          <w:rFonts w:ascii="Cambria" w:hAnsi="Cambria"/>
          <w:b/>
          <w:color w:val="00B050"/>
          <w:sz w:val="28"/>
          <w:szCs w:val="28"/>
        </w:rPr>
        <w:t>EVENTOS</w:t>
      </w:r>
    </w:p>
    <w:p w:rsidR="00155230" w:rsidRPr="00901B46" w:rsidRDefault="002C4547" w:rsidP="002C4547">
      <w:pPr>
        <w:spacing w:line="360" w:lineRule="auto"/>
        <w:jc w:val="both"/>
        <w:rPr>
          <w:rFonts w:ascii="Cambria" w:hAnsi="Cambria"/>
          <w:b/>
          <w:color w:val="0070C0"/>
        </w:rPr>
      </w:pPr>
      <w:r w:rsidRPr="00901B46">
        <w:rPr>
          <w:rFonts w:ascii="Cambria" w:hAnsi="Cambria"/>
          <w:b/>
          <w:color w:val="0070C0"/>
        </w:rPr>
        <w:t>Modelo de delegación de eventos:</w:t>
      </w:r>
    </w:p>
    <w:p w:rsidR="002C4547" w:rsidRPr="00901B46" w:rsidRDefault="002C4547" w:rsidP="00BF1ED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901B46">
        <w:rPr>
          <w:rFonts w:ascii="Cambria" w:hAnsi="Cambria"/>
          <w:color w:val="0D0D0D" w:themeColor="text1" w:themeTint="F2"/>
        </w:rPr>
        <w:t>Define mecanismos coherentes y estándares para generar y procesar eventos.</w:t>
      </w:r>
    </w:p>
    <w:p w:rsidR="002C4547" w:rsidRPr="00901B46" w:rsidRDefault="002C4547" w:rsidP="00BF1ED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901B46">
        <w:rPr>
          <w:rFonts w:ascii="Cambria" w:hAnsi="Cambria"/>
          <w:color w:val="0D0D0D" w:themeColor="text1" w:themeTint="F2"/>
        </w:rPr>
        <w:t>Una fuente genera un evento y lo envía a uno o más listeners (escuchadores).</w:t>
      </w:r>
    </w:p>
    <w:p w:rsidR="002C4547" w:rsidRPr="00901B46" w:rsidRDefault="002C4547" w:rsidP="00BF1ED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901B46">
        <w:rPr>
          <w:rFonts w:ascii="Cambria" w:hAnsi="Cambria"/>
          <w:color w:val="0D0D0D" w:themeColor="text1" w:themeTint="F2"/>
        </w:rPr>
        <w:t>Los listeners esperan hasta que reciben un evento, una vez recibido lo procesa y lo devuelve.</w:t>
      </w:r>
    </w:p>
    <w:p w:rsidR="002C4547" w:rsidRPr="00901B46" w:rsidRDefault="002C4547" w:rsidP="00BF1ED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901B46">
        <w:rPr>
          <w:rFonts w:ascii="Cambria" w:hAnsi="Cambria"/>
          <w:color w:val="0D0D0D" w:themeColor="text1" w:themeTint="F2"/>
        </w:rPr>
        <w:t>La lógica que procesa los eventos está separada de la lógica de la interfaz de usuario que genera los eventos.</w:t>
      </w:r>
    </w:p>
    <w:p w:rsidR="002C4547" w:rsidRPr="00901B46" w:rsidRDefault="002C4547" w:rsidP="00BF1ED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901B46">
        <w:rPr>
          <w:rFonts w:ascii="Cambria" w:hAnsi="Cambria"/>
          <w:color w:val="0D0D0D" w:themeColor="text1" w:themeTint="F2"/>
        </w:rPr>
        <w:t>Un elemento de interfaz de usuario es capaz de delegar el procesamiento de un evento a una parte separada de código.</w:t>
      </w:r>
    </w:p>
    <w:p w:rsidR="002C4547" w:rsidRPr="00901B46" w:rsidRDefault="002C4547" w:rsidP="00BF1ED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901B46">
        <w:rPr>
          <w:rFonts w:ascii="Cambria" w:hAnsi="Cambria"/>
          <w:color w:val="0D0D0D" w:themeColor="text1" w:themeTint="F2"/>
        </w:rPr>
        <w:t>Los listeners atienden a una fuente de la cual reciben la notificación de un evento. Las notificaciones sólo se envían a los listeners que quieren recibirlos.</w:t>
      </w:r>
    </w:p>
    <w:p w:rsidR="00BF1EDF" w:rsidRPr="00901B46" w:rsidRDefault="00BF1EDF" w:rsidP="00BF1EDF">
      <w:pPr>
        <w:spacing w:line="276" w:lineRule="auto"/>
        <w:jc w:val="both"/>
        <w:rPr>
          <w:rFonts w:ascii="Cambria" w:hAnsi="Cambria"/>
          <w:color w:val="00B050"/>
        </w:rPr>
      </w:pPr>
    </w:p>
    <w:p w:rsidR="00BF1EDF" w:rsidRPr="00901B46" w:rsidRDefault="00BF1EDF" w:rsidP="00DA2417">
      <w:pPr>
        <w:spacing w:line="360" w:lineRule="auto"/>
        <w:jc w:val="both"/>
        <w:rPr>
          <w:rFonts w:ascii="Cambria" w:hAnsi="Cambria"/>
          <w:color w:val="0070C0"/>
        </w:rPr>
      </w:pPr>
      <w:r w:rsidRPr="00901B46">
        <w:rPr>
          <w:rFonts w:ascii="Cambria" w:hAnsi="Cambria"/>
          <w:b/>
          <w:color w:val="0070C0"/>
        </w:rPr>
        <w:t>Eventos</w:t>
      </w:r>
    </w:p>
    <w:p w:rsidR="00BF1EDF" w:rsidRPr="00901B46" w:rsidRDefault="00BF1EDF" w:rsidP="00BF1ED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901B46">
        <w:rPr>
          <w:rFonts w:ascii="Cambria" w:hAnsi="Cambria"/>
          <w:color w:val="0D0D0D" w:themeColor="text1" w:themeTint="F2"/>
        </w:rPr>
        <w:t>Un evento es un objeto que describe un cambio de estado de una fuente.</w:t>
      </w:r>
    </w:p>
    <w:p w:rsidR="00BF1EDF" w:rsidRDefault="00BF1EDF" w:rsidP="00BF1EDF">
      <w:pPr>
        <w:spacing w:line="276" w:lineRule="auto"/>
        <w:jc w:val="both"/>
        <w:rPr>
          <w:rFonts w:ascii="Cambria" w:hAnsi="Cambria"/>
          <w:color w:val="0070C0"/>
        </w:rPr>
      </w:pPr>
    </w:p>
    <w:p w:rsidR="00BF1EDF" w:rsidRPr="00E70610" w:rsidRDefault="00DA2417" w:rsidP="00DA2417">
      <w:pPr>
        <w:spacing w:line="360" w:lineRule="auto"/>
        <w:jc w:val="both"/>
        <w:rPr>
          <w:rFonts w:ascii="Cambria" w:hAnsi="Cambria"/>
          <w:color w:val="0070C0"/>
        </w:rPr>
      </w:pPr>
      <w:r w:rsidRPr="00E70610">
        <w:rPr>
          <w:rFonts w:ascii="Cambria" w:hAnsi="Cambria"/>
          <w:b/>
          <w:color w:val="0070C0"/>
        </w:rPr>
        <w:t>Fuentes de Eventos</w:t>
      </w:r>
    </w:p>
    <w:p w:rsidR="00DA2417" w:rsidRPr="00E70610" w:rsidRDefault="00DA2417" w:rsidP="00DA2417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E70610">
        <w:rPr>
          <w:rFonts w:ascii="Cambria" w:hAnsi="Cambria"/>
          <w:color w:val="0D0D0D" w:themeColor="text1" w:themeTint="F2"/>
        </w:rPr>
        <w:t>Una fuente es un objeto que genera un evento, las fuentes pueden generar más de un tipo de eventos.</w:t>
      </w:r>
    </w:p>
    <w:p w:rsidR="00630E80" w:rsidRPr="00E70610" w:rsidRDefault="002C6027" w:rsidP="00DA2417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>
        <w:rPr>
          <w:rFonts w:ascii="Cambria" w:hAnsi="Cambria"/>
          <w:color w:val="0D0D0D" w:themeColor="text1" w:themeTint="F2"/>
        </w:rPr>
        <w:t>Una fuente tiene</w:t>
      </w:r>
      <w:r w:rsidR="00630E80" w:rsidRPr="00E70610">
        <w:rPr>
          <w:rFonts w:ascii="Cambria" w:hAnsi="Cambria"/>
          <w:color w:val="0D0D0D" w:themeColor="text1" w:themeTint="F2"/>
        </w:rPr>
        <w:t xml:space="preserve"> que </w:t>
      </w:r>
      <w:r w:rsidR="00630E80" w:rsidRPr="00E70610">
        <w:rPr>
          <w:rFonts w:ascii="Cambria" w:hAnsi="Cambria"/>
          <w:b/>
          <w:color w:val="0D0D0D" w:themeColor="text1" w:themeTint="F2"/>
        </w:rPr>
        <w:t>registrar</w:t>
      </w:r>
      <w:r w:rsidR="00630E80" w:rsidRPr="00E70610">
        <w:rPr>
          <w:rFonts w:ascii="Cambria" w:hAnsi="Cambria"/>
          <w:color w:val="0D0D0D" w:themeColor="text1" w:themeTint="F2"/>
        </w:rPr>
        <w:t xml:space="preserve"> los listeners para que estos reciban las notificaciones sobre un tipo específico de evento.</w:t>
      </w:r>
    </w:p>
    <w:p w:rsidR="00630E80" w:rsidRPr="00E70610" w:rsidRDefault="00630E80" w:rsidP="00A80EF0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Cambria" w:hAnsi="Cambria"/>
          <w:color w:val="0D0D0D" w:themeColor="text1" w:themeTint="F2"/>
        </w:rPr>
      </w:pPr>
      <w:r w:rsidRPr="00E70610">
        <w:rPr>
          <w:rFonts w:ascii="Cambria" w:hAnsi="Cambria"/>
          <w:color w:val="0D0D0D" w:themeColor="text1" w:themeTint="F2"/>
        </w:rPr>
        <w:t>Cada tipo de evento tiene su propio método de registro</w:t>
      </w:r>
      <w:r w:rsidR="00AA3586" w:rsidRPr="00E70610">
        <w:rPr>
          <w:rFonts w:ascii="Cambria" w:hAnsi="Cambria"/>
          <w:color w:val="0D0D0D" w:themeColor="text1" w:themeTint="F2"/>
        </w:rPr>
        <w:t>, por ejemplo</w:t>
      </w:r>
      <w:r w:rsidRPr="00E70610">
        <w:rPr>
          <w:rFonts w:ascii="Cambria" w:hAnsi="Cambria"/>
          <w:color w:val="0D0D0D" w:themeColor="text1" w:themeTint="F2"/>
        </w:rPr>
        <w:t>.</w:t>
      </w:r>
    </w:p>
    <w:p w:rsidR="00795FDB" w:rsidRPr="005511FA" w:rsidRDefault="00795FDB" w:rsidP="00795FDB">
      <w:pPr>
        <w:pStyle w:val="Prrafodelista"/>
        <w:spacing w:line="360" w:lineRule="auto"/>
        <w:jc w:val="center"/>
        <w:rPr>
          <w:rFonts w:ascii="Cambria" w:hAnsi="Cambria"/>
          <w:b/>
          <w:color w:val="996633"/>
        </w:rPr>
      </w:pPr>
      <w:r w:rsidRPr="005511FA">
        <w:rPr>
          <w:rFonts w:ascii="Cambria" w:hAnsi="Cambria"/>
          <w:b/>
          <w:color w:val="996633"/>
        </w:rPr>
        <w:t>public void addTipoListener(TipoListener el)</w:t>
      </w:r>
    </w:p>
    <w:p w:rsidR="00795FDB" w:rsidRPr="005511FA" w:rsidRDefault="00795FDB" w:rsidP="00795FDB">
      <w:pPr>
        <w:pStyle w:val="Prrafodelista"/>
        <w:spacing w:line="276" w:lineRule="auto"/>
        <w:rPr>
          <w:rFonts w:ascii="Cambria" w:hAnsi="Cambria"/>
          <w:b/>
          <w:color w:val="996633"/>
        </w:rPr>
      </w:pPr>
      <w:r w:rsidRPr="005511FA">
        <w:rPr>
          <w:rFonts w:ascii="Cambria" w:hAnsi="Cambria"/>
          <w:b/>
          <w:color w:val="996633"/>
        </w:rPr>
        <w:t>Tipo: nombre del evento</w:t>
      </w:r>
    </w:p>
    <w:p w:rsidR="00795FDB" w:rsidRPr="005511FA" w:rsidRDefault="00795FDB" w:rsidP="00A80EF0">
      <w:pPr>
        <w:pStyle w:val="Prrafodelista"/>
        <w:spacing w:line="360" w:lineRule="auto"/>
        <w:rPr>
          <w:rFonts w:ascii="Cambria" w:hAnsi="Cambria"/>
          <w:b/>
          <w:color w:val="996633"/>
        </w:rPr>
      </w:pPr>
      <w:r w:rsidRPr="005511FA">
        <w:rPr>
          <w:rFonts w:ascii="Cambria" w:hAnsi="Cambria"/>
          <w:b/>
          <w:color w:val="996633"/>
        </w:rPr>
        <w:t xml:space="preserve">el: referencia al listener. </w:t>
      </w:r>
    </w:p>
    <w:p w:rsidR="00A80EF0" w:rsidRPr="003B5D48" w:rsidRDefault="00A80EF0" w:rsidP="00E24587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3B5D48">
        <w:rPr>
          <w:rFonts w:ascii="Cambria" w:hAnsi="Cambria"/>
          <w:color w:val="0D0D0D" w:themeColor="text1" w:themeTint="F2"/>
        </w:rPr>
        <w:t>Cuando ocurre un evento, se notifica a todos los listeners registrados y reciben una copia del objeto evento</w:t>
      </w:r>
      <w:r w:rsidR="00370A2E" w:rsidRPr="003B5D48">
        <w:rPr>
          <w:rFonts w:ascii="Cambria" w:hAnsi="Cambria"/>
          <w:color w:val="0D0D0D" w:themeColor="text1" w:themeTint="F2"/>
        </w:rPr>
        <w:t xml:space="preserve"> – </w:t>
      </w:r>
      <w:r w:rsidR="00370A2E" w:rsidRPr="003B5D48">
        <w:rPr>
          <w:rFonts w:ascii="Cambria" w:hAnsi="Cambria"/>
          <w:b/>
          <w:color w:val="0D0D0D" w:themeColor="text1" w:themeTint="F2"/>
        </w:rPr>
        <w:t>Multidifusión</w:t>
      </w:r>
      <w:r w:rsidR="00370A2E" w:rsidRPr="003B5D48">
        <w:rPr>
          <w:rFonts w:ascii="Cambria" w:hAnsi="Cambria"/>
          <w:color w:val="0D0D0D" w:themeColor="text1" w:themeTint="F2"/>
        </w:rPr>
        <w:t xml:space="preserve"> de evento</w:t>
      </w:r>
      <w:r w:rsidRPr="003B5D48">
        <w:rPr>
          <w:rFonts w:ascii="Cambria" w:hAnsi="Cambria"/>
          <w:color w:val="0D0D0D" w:themeColor="text1" w:themeTint="F2"/>
        </w:rPr>
        <w:t>.</w:t>
      </w:r>
    </w:p>
    <w:p w:rsidR="00370A2E" w:rsidRPr="003B5D48" w:rsidRDefault="00B94188" w:rsidP="00E24587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3B5D48">
        <w:rPr>
          <w:rFonts w:ascii="Cambria" w:hAnsi="Cambria"/>
          <w:color w:val="0D0D0D" w:themeColor="text1" w:themeTint="F2"/>
        </w:rPr>
        <w:t>Las notificaciones solo se envían a los listeners que quieren recibirlos.</w:t>
      </w:r>
    </w:p>
    <w:p w:rsidR="00F7238E" w:rsidRPr="003B5D48" w:rsidRDefault="00F7238E" w:rsidP="00E24587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3B5D48">
        <w:rPr>
          <w:rFonts w:ascii="Cambria" w:hAnsi="Cambria"/>
          <w:color w:val="0D0D0D" w:themeColor="text1" w:themeTint="F2"/>
        </w:rPr>
        <w:t>La fuente que genera los eventos es la que proporciona los métodos para añadir o quitar listeners.</w:t>
      </w:r>
    </w:p>
    <w:p w:rsidR="00676C00" w:rsidRDefault="00676C00" w:rsidP="00676C00">
      <w:pPr>
        <w:spacing w:line="276" w:lineRule="auto"/>
        <w:jc w:val="both"/>
        <w:rPr>
          <w:rFonts w:ascii="Cambria" w:hAnsi="Cambria"/>
          <w:color w:val="0070C0"/>
        </w:rPr>
      </w:pPr>
    </w:p>
    <w:p w:rsidR="00676C00" w:rsidRPr="005511FA" w:rsidRDefault="00676C00" w:rsidP="002A5F75">
      <w:pPr>
        <w:spacing w:line="360" w:lineRule="auto"/>
        <w:jc w:val="both"/>
        <w:rPr>
          <w:rFonts w:ascii="Cambria" w:hAnsi="Cambria"/>
          <w:b/>
          <w:color w:val="0070C0"/>
        </w:rPr>
      </w:pPr>
      <w:r w:rsidRPr="005511FA">
        <w:rPr>
          <w:rFonts w:ascii="Cambria" w:hAnsi="Cambria"/>
          <w:b/>
          <w:color w:val="0070C0"/>
        </w:rPr>
        <w:t>Listeners – Auditores de eventos</w:t>
      </w:r>
    </w:p>
    <w:p w:rsidR="00DE4CB1" w:rsidRPr="005511FA" w:rsidRDefault="00DE4CB1" w:rsidP="00DE4CB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5511FA">
        <w:rPr>
          <w:rFonts w:ascii="Cambria" w:hAnsi="Cambria"/>
          <w:color w:val="0D0D0D" w:themeColor="text1" w:themeTint="F2"/>
        </w:rPr>
        <w:t>Un listener es un objeto que es notificado cuando ocurre un evento.</w:t>
      </w:r>
    </w:p>
    <w:p w:rsidR="00111EEB" w:rsidRPr="005511FA" w:rsidRDefault="00111EEB" w:rsidP="00DE4CB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5511FA">
        <w:rPr>
          <w:rFonts w:ascii="Cambria" w:hAnsi="Cambria"/>
          <w:color w:val="0D0D0D" w:themeColor="text1" w:themeTint="F2"/>
        </w:rPr>
        <w:t>1° Tiene que ser registrado con una o más fuentes para recibir las notificaciones sobre eventos.</w:t>
      </w:r>
    </w:p>
    <w:p w:rsidR="00111EEB" w:rsidRPr="005511FA" w:rsidRDefault="00111EEB" w:rsidP="00DE4CB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5511FA">
        <w:rPr>
          <w:rFonts w:ascii="Cambria" w:hAnsi="Cambria"/>
          <w:color w:val="0D0D0D" w:themeColor="text1" w:themeTint="F2"/>
        </w:rPr>
        <w:t>2° Tiene que implementar métodos para recibir y procesar esas notificaciones.</w:t>
      </w:r>
    </w:p>
    <w:p w:rsidR="00AA3586" w:rsidRPr="005511FA" w:rsidRDefault="00AA3586" w:rsidP="00AA3586">
      <w:pPr>
        <w:pStyle w:val="Prrafodelista"/>
        <w:numPr>
          <w:ilvl w:val="0"/>
          <w:numId w:val="7"/>
        </w:numPr>
        <w:spacing w:after="240" w:line="276" w:lineRule="auto"/>
        <w:jc w:val="both"/>
        <w:rPr>
          <w:rFonts w:ascii="Cambria" w:hAnsi="Cambria"/>
          <w:color w:val="0D0D0D" w:themeColor="text1" w:themeTint="F2"/>
        </w:rPr>
      </w:pPr>
      <w:r w:rsidRPr="005511FA">
        <w:rPr>
          <w:rFonts w:ascii="Cambria" w:hAnsi="Cambria"/>
          <w:color w:val="0D0D0D" w:themeColor="text1" w:themeTint="F2"/>
        </w:rPr>
        <w:lastRenderedPageBreak/>
        <w:t>Los métodos que reciben y procesan eventos están definidos en un conjunto de interfaces del paquete java.awt.event. Por ejemplo:</w:t>
      </w:r>
    </w:p>
    <w:p w:rsidR="00AA3586" w:rsidRDefault="00AA3586" w:rsidP="00AA3586">
      <w:pPr>
        <w:pStyle w:val="Prrafodelista"/>
        <w:spacing w:after="240" w:line="276" w:lineRule="auto"/>
        <w:jc w:val="both"/>
        <w:rPr>
          <w:rFonts w:ascii="Cambria" w:hAnsi="Cambria"/>
          <w:color w:val="0070C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5260"/>
      </w:tblGrid>
      <w:tr w:rsidR="005511FA" w:rsidRPr="005511FA" w:rsidTr="00AA3586">
        <w:tc>
          <w:tcPr>
            <w:tcW w:w="3074" w:type="dxa"/>
          </w:tcPr>
          <w:p w:rsidR="00AA3586" w:rsidRPr="005511FA" w:rsidRDefault="00AA3586" w:rsidP="00AA3586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b/>
                <w:color w:val="0070C0"/>
              </w:rPr>
            </w:pPr>
            <w:r w:rsidRPr="005511FA">
              <w:rPr>
                <w:rFonts w:ascii="Cambria" w:hAnsi="Cambria"/>
                <w:b/>
                <w:color w:val="0070C0"/>
              </w:rPr>
              <w:t>Interface</w:t>
            </w:r>
          </w:p>
        </w:tc>
        <w:tc>
          <w:tcPr>
            <w:tcW w:w="5260" w:type="dxa"/>
          </w:tcPr>
          <w:p w:rsidR="00AA3586" w:rsidRPr="005511FA" w:rsidRDefault="00AA3586" w:rsidP="00AA3586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b/>
                <w:color w:val="0070C0"/>
              </w:rPr>
            </w:pPr>
            <w:r w:rsidRPr="005511FA">
              <w:rPr>
                <w:rFonts w:ascii="Cambria" w:hAnsi="Cambria"/>
                <w:b/>
                <w:color w:val="0070C0"/>
              </w:rPr>
              <w:t>Métodos (para recibir notificaciones)</w:t>
            </w:r>
          </w:p>
        </w:tc>
      </w:tr>
      <w:tr w:rsidR="00AA3586" w:rsidRPr="00AA3586" w:rsidTr="00AA3586">
        <w:tc>
          <w:tcPr>
            <w:tcW w:w="3074" w:type="dxa"/>
            <w:vMerge w:val="restart"/>
            <w:vAlign w:val="center"/>
          </w:tcPr>
          <w:p w:rsidR="00AA3586" w:rsidRPr="00AA3586" w:rsidRDefault="00AA3586" w:rsidP="00AA3586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color w:val="996633"/>
              </w:rPr>
            </w:pPr>
            <w:r w:rsidRPr="00AA3586">
              <w:rPr>
                <w:rFonts w:ascii="Cambria" w:hAnsi="Cambria"/>
                <w:color w:val="996633"/>
              </w:rPr>
              <w:t>MouseMotionListener</w:t>
            </w:r>
          </w:p>
        </w:tc>
        <w:tc>
          <w:tcPr>
            <w:tcW w:w="5260" w:type="dxa"/>
          </w:tcPr>
          <w:p w:rsidR="00AA3586" w:rsidRPr="00AA3586" w:rsidRDefault="00AA3586" w:rsidP="00AA3586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color w:val="996633"/>
              </w:rPr>
            </w:pPr>
            <w:r w:rsidRPr="00AA3586">
              <w:rPr>
                <w:rFonts w:ascii="Cambria" w:hAnsi="Cambria"/>
                <w:color w:val="996633"/>
              </w:rPr>
              <w:t>Cuando se arrastra el ratón</w:t>
            </w:r>
          </w:p>
        </w:tc>
      </w:tr>
      <w:tr w:rsidR="00AA3586" w:rsidRPr="00AA3586" w:rsidTr="00AA3586">
        <w:tc>
          <w:tcPr>
            <w:tcW w:w="3074" w:type="dxa"/>
            <w:vMerge/>
          </w:tcPr>
          <w:p w:rsidR="00AA3586" w:rsidRPr="00AA3586" w:rsidRDefault="00AA3586" w:rsidP="00AA3586">
            <w:pPr>
              <w:pStyle w:val="Prrafodelista"/>
              <w:spacing w:line="276" w:lineRule="auto"/>
              <w:ind w:left="0"/>
              <w:jc w:val="both"/>
              <w:rPr>
                <w:rFonts w:ascii="Cambria" w:hAnsi="Cambria"/>
                <w:color w:val="996633"/>
              </w:rPr>
            </w:pPr>
          </w:p>
        </w:tc>
        <w:tc>
          <w:tcPr>
            <w:tcW w:w="5260" w:type="dxa"/>
          </w:tcPr>
          <w:p w:rsidR="00AA3586" w:rsidRPr="00AA3586" w:rsidRDefault="00AA3586" w:rsidP="00AA3586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color w:val="996633"/>
              </w:rPr>
            </w:pPr>
            <w:r w:rsidRPr="00AA3586">
              <w:rPr>
                <w:rFonts w:ascii="Cambria" w:hAnsi="Cambria"/>
                <w:color w:val="996633"/>
              </w:rPr>
              <w:t>Cuando se mueve el ratón</w:t>
            </w:r>
          </w:p>
        </w:tc>
      </w:tr>
    </w:tbl>
    <w:p w:rsidR="00AA3586" w:rsidRDefault="00AA3586" w:rsidP="00AA3586">
      <w:pPr>
        <w:pStyle w:val="Prrafodelista"/>
        <w:spacing w:line="276" w:lineRule="auto"/>
        <w:jc w:val="both"/>
        <w:rPr>
          <w:rFonts w:ascii="Cambria" w:hAnsi="Cambria"/>
          <w:color w:val="996633"/>
        </w:rPr>
      </w:pPr>
    </w:p>
    <w:p w:rsidR="002A5F75" w:rsidRPr="00AA3586" w:rsidRDefault="002A5F75" w:rsidP="00AA3586">
      <w:pPr>
        <w:pStyle w:val="Prrafodelista"/>
        <w:spacing w:line="276" w:lineRule="auto"/>
        <w:jc w:val="both"/>
        <w:rPr>
          <w:rFonts w:ascii="Cambria" w:hAnsi="Cambria"/>
          <w:color w:val="996633"/>
        </w:rPr>
      </w:pPr>
    </w:p>
    <w:p w:rsidR="00AA3586" w:rsidRPr="005511FA" w:rsidRDefault="00B37913" w:rsidP="002A5F75">
      <w:pPr>
        <w:pStyle w:val="Prrafodelista"/>
        <w:spacing w:line="360" w:lineRule="auto"/>
        <w:ind w:left="0"/>
        <w:jc w:val="both"/>
        <w:rPr>
          <w:rFonts w:ascii="Cambria" w:hAnsi="Cambria"/>
          <w:b/>
          <w:color w:val="0070C0"/>
        </w:rPr>
      </w:pPr>
      <w:r w:rsidRPr="005511FA">
        <w:rPr>
          <w:rFonts w:ascii="Cambria" w:hAnsi="Cambria"/>
          <w:b/>
          <w:color w:val="0070C0"/>
        </w:rPr>
        <w:t>Clases de Eventos</w:t>
      </w:r>
    </w:p>
    <w:p w:rsidR="00B37913" w:rsidRPr="005511FA" w:rsidRDefault="00B37913" w:rsidP="00B37913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5511FA">
        <w:rPr>
          <w:rFonts w:ascii="Cambria" w:hAnsi="Cambria"/>
          <w:color w:val="0D0D0D" w:themeColor="text1" w:themeTint="F2"/>
        </w:rPr>
        <w:t>Las clases que representan eventos son el núcleo del mecanismo de la gestión de eventos en java.</w:t>
      </w:r>
    </w:p>
    <w:p w:rsidR="00B37913" w:rsidRPr="005511FA" w:rsidRDefault="00B37913" w:rsidP="00B37913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5511FA">
        <w:rPr>
          <w:rFonts w:ascii="Cambria" w:hAnsi="Cambria"/>
          <w:color w:val="0D0D0D" w:themeColor="text1" w:themeTint="F2"/>
        </w:rPr>
        <w:t>EventObject es la superclase para todos los event</w:t>
      </w:r>
      <w:r w:rsidR="00FF26EA">
        <w:rPr>
          <w:rFonts w:ascii="Cambria" w:hAnsi="Cambria"/>
          <w:color w:val="0D0D0D" w:themeColor="text1" w:themeTint="F2"/>
        </w:rPr>
        <w:t>os, tiene los métodos getSource</w:t>
      </w:r>
      <w:bookmarkStart w:id="0" w:name="_GoBack"/>
      <w:bookmarkEnd w:id="0"/>
      <w:r w:rsidRPr="005511FA">
        <w:rPr>
          <w:rFonts w:ascii="Cambria" w:hAnsi="Cambria"/>
          <w:color w:val="0D0D0D" w:themeColor="text1" w:themeTint="F2"/>
        </w:rPr>
        <w:t>() y toString().</w:t>
      </w:r>
    </w:p>
    <w:p w:rsidR="00B37913" w:rsidRPr="005511FA" w:rsidRDefault="00B37913" w:rsidP="00B37913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5511FA">
        <w:rPr>
          <w:rFonts w:ascii="Cambria" w:hAnsi="Cambria"/>
          <w:color w:val="0D0D0D" w:themeColor="text1" w:themeTint="F2"/>
        </w:rPr>
        <w:t>AWTEvent es una subclase de EventObject.</w:t>
      </w:r>
    </w:p>
    <w:p w:rsidR="00B37913" w:rsidRPr="005511FA" w:rsidRDefault="00B37913" w:rsidP="00B37913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5511FA">
        <w:rPr>
          <w:rFonts w:ascii="Cambria" w:hAnsi="Cambria"/>
          <w:color w:val="0D0D0D" w:themeColor="text1" w:themeTint="F2"/>
        </w:rPr>
        <w:t>AWTEvent es la superclase de todos los eventos utilizados por el modelo de delegación de eventos.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4"/>
      </w:tblGrid>
      <w:tr w:rsidR="00352208" w:rsidTr="00352208">
        <w:tc>
          <w:tcPr>
            <w:tcW w:w="8978" w:type="dxa"/>
          </w:tcPr>
          <w:p w:rsidR="00352208" w:rsidRDefault="00352208" w:rsidP="00352208">
            <w:pPr>
              <w:pStyle w:val="Prrafodelista"/>
              <w:spacing w:line="276" w:lineRule="auto"/>
              <w:ind w:left="0"/>
              <w:jc w:val="both"/>
              <w:rPr>
                <w:rFonts w:ascii="Cambria" w:hAnsi="Cambria"/>
                <w:color w:val="0070C0"/>
              </w:rPr>
            </w:pPr>
            <w:r>
              <w:rPr>
                <w:rFonts w:ascii="Cambria" w:hAnsi="Cambria"/>
                <w:noProof/>
                <w:color w:val="0070C0"/>
                <w:lang w:eastAsia="es-MX"/>
              </w:rPr>
              <w:drawing>
                <wp:inline distT="0" distB="0" distL="0" distR="0" wp14:anchorId="351B3BAC" wp14:editId="70CD0AD3">
                  <wp:extent cx="5192201" cy="3631838"/>
                  <wp:effectExtent l="0" t="0" r="8890" b="6985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200" cy="3631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2208" w:rsidRPr="00B37913" w:rsidRDefault="00352208" w:rsidP="00352208">
      <w:pPr>
        <w:pStyle w:val="Prrafodelista"/>
        <w:spacing w:line="276" w:lineRule="auto"/>
        <w:jc w:val="both"/>
        <w:rPr>
          <w:rFonts w:ascii="Cambria" w:hAnsi="Cambria"/>
          <w:color w:val="0070C0"/>
        </w:rPr>
      </w:pPr>
    </w:p>
    <w:p w:rsidR="0098608B" w:rsidRPr="008877CB" w:rsidRDefault="0098608B" w:rsidP="00AA3586">
      <w:pPr>
        <w:spacing w:line="276" w:lineRule="auto"/>
        <w:jc w:val="both"/>
        <w:rPr>
          <w:rFonts w:ascii="Cambria" w:hAnsi="Cambria"/>
          <w:b/>
          <w:color w:val="00B050"/>
        </w:rPr>
      </w:pPr>
    </w:p>
    <w:p w:rsidR="00B263A1" w:rsidRPr="0098608B" w:rsidRDefault="00B263A1" w:rsidP="00AA3586">
      <w:pPr>
        <w:spacing w:line="276" w:lineRule="auto"/>
        <w:jc w:val="both"/>
        <w:rPr>
          <w:rFonts w:ascii="Cambria" w:hAnsi="Cambria"/>
          <w:color w:val="0070C0"/>
        </w:rPr>
      </w:pPr>
    </w:p>
    <w:p w:rsidR="00B263A1" w:rsidRDefault="00B263A1" w:rsidP="00AA3586">
      <w:pPr>
        <w:spacing w:line="276" w:lineRule="auto"/>
        <w:jc w:val="both"/>
        <w:rPr>
          <w:rFonts w:ascii="Cambria" w:hAnsi="Cambria"/>
          <w:color w:val="0070C0"/>
        </w:rPr>
      </w:pPr>
    </w:p>
    <w:p w:rsidR="00B263A1" w:rsidRDefault="00B263A1" w:rsidP="00AA3586">
      <w:pPr>
        <w:spacing w:line="276" w:lineRule="auto"/>
        <w:jc w:val="both"/>
        <w:rPr>
          <w:rFonts w:ascii="Cambria" w:hAnsi="Cambria"/>
          <w:color w:val="0070C0"/>
        </w:rPr>
      </w:pPr>
    </w:p>
    <w:p w:rsidR="00B263A1" w:rsidRPr="000566C6" w:rsidRDefault="00B263A1" w:rsidP="002A5F75">
      <w:pPr>
        <w:spacing w:line="360" w:lineRule="auto"/>
        <w:jc w:val="both"/>
        <w:rPr>
          <w:rFonts w:ascii="Cambria" w:hAnsi="Cambria"/>
          <w:b/>
          <w:color w:val="0070C0"/>
        </w:rPr>
      </w:pPr>
      <w:r w:rsidRPr="000566C6">
        <w:rPr>
          <w:rFonts w:ascii="Cambria" w:hAnsi="Cambria"/>
          <w:b/>
          <w:color w:val="0070C0"/>
        </w:rPr>
        <w:lastRenderedPageBreak/>
        <w:t>Fuentes de Eventos</w:t>
      </w:r>
    </w:p>
    <w:p w:rsidR="00D978B5" w:rsidRPr="000566C6" w:rsidRDefault="00D978B5" w:rsidP="00B508CC">
      <w:pPr>
        <w:spacing w:line="276" w:lineRule="auto"/>
        <w:ind w:firstLine="708"/>
        <w:jc w:val="both"/>
        <w:rPr>
          <w:rFonts w:ascii="Cambria" w:hAnsi="Cambria"/>
          <w:color w:val="0D0D0D" w:themeColor="text1" w:themeTint="F2"/>
        </w:rPr>
      </w:pPr>
      <w:r w:rsidRPr="000566C6">
        <w:rPr>
          <w:rFonts w:ascii="Cambria" w:hAnsi="Cambria"/>
          <w:color w:val="0D0D0D" w:themeColor="text1" w:themeTint="F2"/>
        </w:rPr>
        <w:t>Algunos de los componentes de interfaz de usuario que pueden generar los eventos descritos en el apartado anterior.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D978B5" w:rsidTr="00D978B5">
        <w:tc>
          <w:tcPr>
            <w:tcW w:w="8978" w:type="dxa"/>
          </w:tcPr>
          <w:p w:rsidR="00D978B5" w:rsidRDefault="00D978B5" w:rsidP="00E37283">
            <w:pPr>
              <w:spacing w:before="240" w:line="276" w:lineRule="auto"/>
              <w:jc w:val="center"/>
              <w:rPr>
                <w:rFonts w:ascii="Cambria" w:hAnsi="Cambria"/>
                <w:color w:val="00B050"/>
              </w:rPr>
            </w:pPr>
            <w:r>
              <w:rPr>
                <w:rFonts w:ascii="Cambria" w:hAnsi="Cambria"/>
                <w:noProof/>
                <w:color w:val="00B050"/>
                <w:lang w:eastAsia="es-MX"/>
              </w:rPr>
              <w:drawing>
                <wp:inline distT="0" distB="0" distL="0" distR="0" wp14:anchorId="2352C732" wp14:editId="39B09572">
                  <wp:extent cx="5667555" cy="3550078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4776" cy="355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78B5" w:rsidRDefault="00D978B5" w:rsidP="00AA3586">
      <w:pPr>
        <w:spacing w:line="276" w:lineRule="auto"/>
        <w:jc w:val="both"/>
        <w:rPr>
          <w:rFonts w:ascii="Cambria" w:hAnsi="Cambria"/>
          <w:color w:val="00B050"/>
        </w:rPr>
      </w:pPr>
    </w:p>
    <w:p w:rsidR="00E37283" w:rsidRDefault="00E37283" w:rsidP="00AA3586">
      <w:pPr>
        <w:spacing w:line="276" w:lineRule="auto"/>
        <w:jc w:val="both"/>
        <w:rPr>
          <w:rFonts w:ascii="Cambria" w:hAnsi="Cambria"/>
          <w:color w:val="00B050"/>
        </w:rPr>
      </w:pPr>
    </w:p>
    <w:p w:rsidR="00E37283" w:rsidRDefault="00E37283" w:rsidP="00AA3586">
      <w:pPr>
        <w:spacing w:line="276" w:lineRule="auto"/>
        <w:jc w:val="both"/>
        <w:rPr>
          <w:rFonts w:ascii="Cambria" w:hAnsi="Cambria"/>
          <w:color w:val="00B050"/>
        </w:rPr>
      </w:pPr>
    </w:p>
    <w:p w:rsidR="00E37283" w:rsidRDefault="00E37283" w:rsidP="00AA3586">
      <w:pPr>
        <w:spacing w:line="276" w:lineRule="auto"/>
        <w:jc w:val="both"/>
        <w:rPr>
          <w:rFonts w:ascii="Cambria" w:hAnsi="Cambria"/>
          <w:color w:val="00B050"/>
        </w:rPr>
      </w:pPr>
    </w:p>
    <w:p w:rsidR="00E37283" w:rsidRDefault="00E37283" w:rsidP="00AA3586">
      <w:pPr>
        <w:spacing w:line="276" w:lineRule="auto"/>
        <w:jc w:val="both"/>
        <w:rPr>
          <w:rFonts w:ascii="Cambria" w:hAnsi="Cambria"/>
          <w:color w:val="00B050"/>
        </w:rPr>
      </w:pPr>
    </w:p>
    <w:p w:rsidR="00E37283" w:rsidRDefault="00E37283" w:rsidP="00AA3586">
      <w:pPr>
        <w:spacing w:line="276" w:lineRule="auto"/>
        <w:jc w:val="both"/>
        <w:rPr>
          <w:rFonts w:ascii="Cambria" w:hAnsi="Cambria"/>
          <w:color w:val="00B050"/>
        </w:rPr>
      </w:pPr>
    </w:p>
    <w:p w:rsidR="00E37283" w:rsidRDefault="00E37283" w:rsidP="00AA3586">
      <w:pPr>
        <w:spacing w:line="276" w:lineRule="auto"/>
        <w:jc w:val="both"/>
        <w:rPr>
          <w:rFonts w:ascii="Cambria" w:hAnsi="Cambria"/>
          <w:color w:val="00B050"/>
        </w:rPr>
      </w:pPr>
    </w:p>
    <w:p w:rsidR="00E37283" w:rsidRDefault="00E37283" w:rsidP="00AA3586">
      <w:pPr>
        <w:spacing w:line="276" w:lineRule="auto"/>
        <w:jc w:val="both"/>
        <w:rPr>
          <w:rFonts w:ascii="Cambria" w:hAnsi="Cambria"/>
          <w:color w:val="00B050"/>
        </w:rPr>
      </w:pPr>
    </w:p>
    <w:p w:rsidR="00E37283" w:rsidRDefault="00E37283" w:rsidP="00AA3586">
      <w:pPr>
        <w:spacing w:line="276" w:lineRule="auto"/>
        <w:jc w:val="both"/>
        <w:rPr>
          <w:rFonts w:ascii="Cambria" w:hAnsi="Cambria"/>
          <w:color w:val="00B050"/>
        </w:rPr>
      </w:pPr>
    </w:p>
    <w:p w:rsidR="00E37283" w:rsidRDefault="00E37283" w:rsidP="00AA3586">
      <w:pPr>
        <w:spacing w:line="276" w:lineRule="auto"/>
        <w:jc w:val="both"/>
        <w:rPr>
          <w:rFonts w:ascii="Cambria" w:hAnsi="Cambria"/>
          <w:color w:val="00B050"/>
        </w:rPr>
      </w:pPr>
    </w:p>
    <w:p w:rsidR="00E37283" w:rsidRDefault="00E37283" w:rsidP="00AA3586">
      <w:pPr>
        <w:spacing w:line="276" w:lineRule="auto"/>
        <w:jc w:val="both"/>
        <w:rPr>
          <w:rFonts w:ascii="Cambria" w:hAnsi="Cambria"/>
          <w:color w:val="00B050"/>
        </w:rPr>
      </w:pPr>
    </w:p>
    <w:p w:rsidR="00E37283" w:rsidRDefault="00E37283" w:rsidP="00AA3586">
      <w:pPr>
        <w:spacing w:line="276" w:lineRule="auto"/>
        <w:jc w:val="both"/>
        <w:rPr>
          <w:rFonts w:ascii="Cambria" w:hAnsi="Cambria"/>
          <w:color w:val="00B050"/>
        </w:rPr>
      </w:pPr>
    </w:p>
    <w:p w:rsidR="00E37283" w:rsidRDefault="00E37283" w:rsidP="00AA3586">
      <w:pPr>
        <w:spacing w:line="276" w:lineRule="auto"/>
        <w:jc w:val="both"/>
        <w:rPr>
          <w:rFonts w:ascii="Cambria" w:hAnsi="Cambria"/>
          <w:color w:val="00B050"/>
        </w:rPr>
      </w:pPr>
    </w:p>
    <w:p w:rsidR="00E37283" w:rsidRDefault="00E37283" w:rsidP="00AA3586">
      <w:pPr>
        <w:spacing w:line="276" w:lineRule="auto"/>
        <w:jc w:val="both"/>
        <w:rPr>
          <w:rFonts w:ascii="Cambria" w:hAnsi="Cambria"/>
          <w:color w:val="00B050"/>
        </w:rPr>
      </w:pPr>
    </w:p>
    <w:p w:rsidR="00E37283" w:rsidRDefault="00E37283" w:rsidP="00AA3586">
      <w:pPr>
        <w:spacing w:line="276" w:lineRule="auto"/>
        <w:jc w:val="both"/>
        <w:rPr>
          <w:rFonts w:ascii="Cambria" w:hAnsi="Cambria"/>
          <w:color w:val="00B050"/>
        </w:rPr>
      </w:pPr>
    </w:p>
    <w:p w:rsidR="00E37283" w:rsidRDefault="00E37283" w:rsidP="00AA3586">
      <w:pPr>
        <w:spacing w:line="276" w:lineRule="auto"/>
        <w:jc w:val="both"/>
        <w:rPr>
          <w:rFonts w:ascii="Cambria" w:hAnsi="Cambria"/>
          <w:color w:val="00B050"/>
        </w:rPr>
      </w:pPr>
    </w:p>
    <w:p w:rsidR="00E37283" w:rsidRDefault="00E37283" w:rsidP="00AA3586">
      <w:pPr>
        <w:spacing w:line="276" w:lineRule="auto"/>
        <w:jc w:val="both"/>
        <w:rPr>
          <w:rFonts w:ascii="Cambria" w:hAnsi="Cambria"/>
          <w:color w:val="00B050"/>
        </w:rPr>
      </w:pPr>
    </w:p>
    <w:p w:rsidR="00E37283" w:rsidRDefault="00E37283" w:rsidP="00AA3586">
      <w:pPr>
        <w:spacing w:line="276" w:lineRule="auto"/>
        <w:jc w:val="both"/>
        <w:rPr>
          <w:rFonts w:ascii="Cambria" w:hAnsi="Cambria"/>
          <w:color w:val="00B050"/>
        </w:rPr>
      </w:pPr>
    </w:p>
    <w:p w:rsidR="0098608B" w:rsidRPr="000566C6" w:rsidRDefault="0098608B" w:rsidP="002A5F75">
      <w:pPr>
        <w:spacing w:line="360" w:lineRule="auto"/>
        <w:jc w:val="both"/>
        <w:rPr>
          <w:rFonts w:ascii="Cambria" w:hAnsi="Cambria"/>
          <w:b/>
          <w:color w:val="0070C0"/>
        </w:rPr>
      </w:pPr>
      <w:r w:rsidRPr="000566C6">
        <w:rPr>
          <w:rFonts w:ascii="Cambria" w:hAnsi="Cambria"/>
          <w:b/>
          <w:color w:val="0070C0"/>
        </w:rPr>
        <w:lastRenderedPageBreak/>
        <w:t>Las Interfaces de Auditores de Eventos</w:t>
      </w:r>
    </w:p>
    <w:p w:rsidR="0098608B" w:rsidRPr="000566C6" w:rsidRDefault="0098608B" w:rsidP="0098608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0566C6">
        <w:rPr>
          <w:rFonts w:ascii="Cambria" w:hAnsi="Cambria"/>
          <w:color w:val="0D0D0D" w:themeColor="text1" w:themeTint="F2"/>
        </w:rPr>
        <w:t>El modelo de delegación de eventos tiene dos partes: fuentes y listeners.</w:t>
      </w:r>
    </w:p>
    <w:p w:rsidR="00365841" w:rsidRPr="000566C6" w:rsidRDefault="00365841" w:rsidP="0098608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0566C6">
        <w:rPr>
          <w:rFonts w:ascii="Cambria" w:hAnsi="Cambria"/>
          <w:color w:val="0D0D0D" w:themeColor="text1" w:themeTint="F2"/>
        </w:rPr>
        <w:t xml:space="preserve">Los listeners se crean implementando una o más interfaces. </w:t>
      </w:r>
    </w:p>
    <w:p w:rsidR="00365841" w:rsidRPr="000566C6" w:rsidRDefault="00365841" w:rsidP="0098608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0566C6">
        <w:rPr>
          <w:rFonts w:ascii="Cambria" w:hAnsi="Cambria"/>
          <w:color w:val="0D0D0D" w:themeColor="text1" w:themeTint="F2"/>
        </w:rPr>
        <w:t>Cuando se produce un evento, la fuente del evento invoca al método apropiado definido por el listener y proporciona un objeto evento como argumento.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E37283" w:rsidTr="00E37283">
        <w:tc>
          <w:tcPr>
            <w:tcW w:w="8978" w:type="dxa"/>
          </w:tcPr>
          <w:p w:rsidR="00E37283" w:rsidRDefault="00E37283" w:rsidP="00E37283">
            <w:pPr>
              <w:spacing w:before="240" w:line="276" w:lineRule="auto"/>
              <w:rPr>
                <w:rFonts w:ascii="Cambria" w:hAnsi="Cambria"/>
                <w:color w:val="0070C0"/>
              </w:rPr>
            </w:pPr>
            <w:r>
              <w:rPr>
                <w:rFonts w:ascii="Cambria" w:hAnsi="Cambria"/>
                <w:noProof/>
                <w:color w:val="0070C0"/>
                <w:lang w:eastAsia="es-MX"/>
              </w:rPr>
              <w:drawing>
                <wp:inline distT="0" distB="0" distL="0" distR="0" wp14:anchorId="15A8C7E9" wp14:editId="0709F80A">
                  <wp:extent cx="5611008" cy="4363059"/>
                  <wp:effectExtent l="0" t="0" r="8890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008" cy="436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63A1" w:rsidRDefault="00B263A1" w:rsidP="00CF1322">
      <w:pPr>
        <w:spacing w:line="276" w:lineRule="auto"/>
        <w:jc w:val="both"/>
        <w:rPr>
          <w:rFonts w:ascii="Cambria" w:hAnsi="Cambria"/>
          <w:color w:val="0070C0"/>
        </w:rPr>
      </w:pPr>
    </w:p>
    <w:p w:rsidR="00CF1322" w:rsidRPr="000566C6" w:rsidRDefault="00CF1322" w:rsidP="00CF1322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0566C6">
        <w:rPr>
          <w:rFonts w:ascii="Cambria" w:hAnsi="Cambria"/>
          <w:color w:val="0D0D0D" w:themeColor="text1" w:themeTint="F2"/>
        </w:rPr>
        <w:t>Se crea una clase que extienda de la interface deseada y se deben sobre escribir todos los métodos de la interface extendida.</w:t>
      </w:r>
    </w:p>
    <w:p w:rsidR="000E7236" w:rsidRDefault="000E7236" w:rsidP="000E7236">
      <w:pPr>
        <w:spacing w:line="276" w:lineRule="auto"/>
        <w:jc w:val="both"/>
        <w:rPr>
          <w:rFonts w:ascii="Cambria" w:hAnsi="Cambria"/>
          <w:color w:val="0070C0"/>
        </w:rPr>
      </w:pPr>
    </w:p>
    <w:p w:rsidR="000E7236" w:rsidRPr="000566C6" w:rsidRDefault="000E7236" w:rsidP="002A5F75">
      <w:pPr>
        <w:spacing w:line="360" w:lineRule="auto"/>
        <w:jc w:val="both"/>
        <w:rPr>
          <w:rFonts w:ascii="Cambria" w:hAnsi="Cambria"/>
          <w:color w:val="0070C0"/>
        </w:rPr>
      </w:pPr>
      <w:r w:rsidRPr="000566C6">
        <w:rPr>
          <w:rFonts w:ascii="Cambria" w:hAnsi="Cambria"/>
          <w:b/>
          <w:color w:val="0070C0"/>
        </w:rPr>
        <w:t>Clases Adaptadoras</w:t>
      </w:r>
    </w:p>
    <w:p w:rsidR="008E2A0C" w:rsidRPr="000566C6" w:rsidRDefault="008E2A0C" w:rsidP="008E2A0C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0566C6">
        <w:rPr>
          <w:rFonts w:ascii="Cambria" w:hAnsi="Cambria"/>
          <w:color w:val="0D0D0D" w:themeColor="text1" w:themeTint="F2"/>
        </w:rPr>
        <w:t>Son útiles cuando se quiere recibir y procesar solo alguno de los eventos.</w:t>
      </w:r>
    </w:p>
    <w:p w:rsidR="008E2A0C" w:rsidRPr="000566C6" w:rsidRDefault="008E2A0C" w:rsidP="008E2A0C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0566C6">
        <w:rPr>
          <w:rFonts w:ascii="Cambria" w:hAnsi="Cambria"/>
          <w:color w:val="0D0D0D" w:themeColor="text1" w:themeTint="F2"/>
        </w:rPr>
        <w:t xml:space="preserve">Se puede definir una nueva clase para que actué como un listener de eventos </w:t>
      </w:r>
      <w:r w:rsidRPr="000566C6">
        <w:rPr>
          <w:rFonts w:ascii="Cambria" w:hAnsi="Cambria"/>
          <w:b/>
          <w:color w:val="0D0D0D" w:themeColor="text1" w:themeTint="F2"/>
        </w:rPr>
        <w:t>extendiendo</w:t>
      </w:r>
      <w:r w:rsidRPr="000566C6">
        <w:rPr>
          <w:rFonts w:ascii="Cambria" w:hAnsi="Cambria"/>
          <w:color w:val="0D0D0D" w:themeColor="text1" w:themeTint="F2"/>
        </w:rPr>
        <w:t xml:space="preserve"> una de las clases adaptadoras e implementando solo aquellos eventos (métodos) que se necesiten.</w:t>
      </w:r>
    </w:p>
    <w:p w:rsidR="008E2A0C" w:rsidRPr="000566C6" w:rsidRDefault="008E2A0C" w:rsidP="008E2A0C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0566C6">
        <w:rPr>
          <w:rFonts w:ascii="Cambria" w:hAnsi="Cambria"/>
          <w:color w:val="0D0D0D" w:themeColor="text1" w:themeTint="F2"/>
        </w:rPr>
        <w:t>Extender la clase adaptadora y sobre escribir el método o los métodos que vayamos a utilizar.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4"/>
      </w:tblGrid>
      <w:tr w:rsidR="008E2A0C" w:rsidTr="008E2A0C">
        <w:tc>
          <w:tcPr>
            <w:tcW w:w="8978" w:type="dxa"/>
          </w:tcPr>
          <w:p w:rsidR="008E2A0C" w:rsidRDefault="008E2A0C" w:rsidP="008E2A0C">
            <w:pPr>
              <w:pStyle w:val="Prrafodelista"/>
              <w:spacing w:line="276" w:lineRule="auto"/>
              <w:ind w:left="0"/>
              <w:jc w:val="both"/>
              <w:rPr>
                <w:rFonts w:ascii="Cambria" w:hAnsi="Cambria"/>
                <w:color w:val="0070C0"/>
              </w:rPr>
            </w:pPr>
            <w:r>
              <w:rPr>
                <w:rFonts w:ascii="Cambria" w:hAnsi="Cambria"/>
                <w:noProof/>
                <w:color w:val="0070C0"/>
                <w:lang w:eastAsia="es-MX"/>
              </w:rPr>
              <w:lastRenderedPageBreak/>
              <w:drawing>
                <wp:inline distT="0" distB="0" distL="0" distR="0" wp14:anchorId="0264214D" wp14:editId="565E2804">
                  <wp:extent cx="5200880" cy="1656271"/>
                  <wp:effectExtent l="0" t="0" r="0" b="127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769" cy="165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2A0C" w:rsidRPr="00185516" w:rsidRDefault="00943C8D" w:rsidP="002A5F75">
      <w:pPr>
        <w:spacing w:line="360" w:lineRule="auto"/>
        <w:jc w:val="both"/>
        <w:rPr>
          <w:rFonts w:ascii="Cambria" w:hAnsi="Cambria"/>
          <w:b/>
          <w:color w:val="0070C0"/>
        </w:rPr>
      </w:pPr>
      <w:r w:rsidRPr="00185516">
        <w:rPr>
          <w:rFonts w:ascii="Cambria" w:hAnsi="Cambria"/>
          <w:b/>
          <w:color w:val="0070C0"/>
        </w:rPr>
        <w:t>Clases Internas</w:t>
      </w:r>
    </w:p>
    <w:p w:rsidR="00943C8D" w:rsidRPr="00185516" w:rsidRDefault="0019775F" w:rsidP="00943C8D">
      <w:p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185516">
        <w:rPr>
          <w:rFonts w:ascii="Cambria" w:hAnsi="Cambria"/>
          <w:color w:val="0D0D0D" w:themeColor="text1" w:themeTint="F2"/>
        </w:rPr>
        <w:t>Es una clase definida dentro de otra clase</w:t>
      </w:r>
    </w:p>
    <w:p w:rsidR="00943C8D" w:rsidRDefault="00943C8D" w:rsidP="00943C8D">
      <w:pPr>
        <w:spacing w:line="276" w:lineRule="auto"/>
        <w:jc w:val="both"/>
        <w:rPr>
          <w:rFonts w:ascii="Cambria" w:hAnsi="Cambria"/>
          <w:color w:val="0070C0"/>
        </w:rPr>
      </w:pPr>
    </w:p>
    <w:p w:rsidR="00943C8D" w:rsidRDefault="00943C8D" w:rsidP="00943C8D">
      <w:pPr>
        <w:spacing w:line="276" w:lineRule="auto"/>
        <w:jc w:val="both"/>
        <w:rPr>
          <w:rFonts w:ascii="Cambria" w:hAnsi="Cambria"/>
          <w:color w:val="0070C0"/>
        </w:rPr>
      </w:pPr>
    </w:p>
    <w:p w:rsidR="00943C8D" w:rsidRPr="00185516" w:rsidRDefault="00943C8D" w:rsidP="002A5F75">
      <w:pPr>
        <w:spacing w:line="360" w:lineRule="auto"/>
        <w:jc w:val="both"/>
        <w:rPr>
          <w:rFonts w:ascii="Cambria" w:hAnsi="Cambria"/>
          <w:b/>
          <w:color w:val="0070C0"/>
        </w:rPr>
      </w:pPr>
      <w:r w:rsidRPr="00185516">
        <w:rPr>
          <w:rFonts w:ascii="Cambria" w:hAnsi="Cambria"/>
          <w:b/>
          <w:color w:val="0070C0"/>
        </w:rPr>
        <w:t xml:space="preserve">Clases Internas </w:t>
      </w:r>
      <w:r w:rsidR="0019775F" w:rsidRPr="00185516">
        <w:rPr>
          <w:rFonts w:ascii="Cambria" w:hAnsi="Cambria"/>
          <w:b/>
          <w:color w:val="0070C0"/>
        </w:rPr>
        <w:t>Anónimas</w:t>
      </w:r>
    </w:p>
    <w:p w:rsidR="00943C8D" w:rsidRPr="00185516" w:rsidRDefault="00872FE9" w:rsidP="00943C8D">
      <w:pPr>
        <w:spacing w:line="276" w:lineRule="auto"/>
        <w:jc w:val="both"/>
        <w:rPr>
          <w:rFonts w:ascii="Cambria" w:hAnsi="Cambria"/>
          <w:color w:val="0D0D0D" w:themeColor="text1" w:themeTint="F2"/>
        </w:rPr>
      </w:pPr>
      <w:r w:rsidRPr="00185516">
        <w:rPr>
          <w:rFonts w:ascii="Cambria" w:hAnsi="Cambria"/>
          <w:color w:val="0D0D0D" w:themeColor="text1" w:themeTint="F2"/>
        </w:rPr>
        <w:t>Es aquella a la que no se le asigna un nombre</w:t>
      </w:r>
    </w:p>
    <w:sectPr w:rsidR="00943C8D" w:rsidRPr="001855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02115"/>
    <w:multiLevelType w:val="hybridMultilevel"/>
    <w:tmpl w:val="C8CCB46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333E"/>
    <w:multiLevelType w:val="hybridMultilevel"/>
    <w:tmpl w:val="32846358"/>
    <w:lvl w:ilvl="0" w:tplc="FB5A784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13B71"/>
    <w:multiLevelType w:val="hybridMultilevel"/>
    <w:tmpl w:val="4920CB5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819EE"/>
    <w:multiLevelType w:val="hybridMultilevel"/>
    <w:tmpl w:val="FB74198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4224C"/>
    <w:multiLevelType w:val="hybridMultilevel"/>
    <w:tmpl w:val="114631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3169F"/>
    <w:multiLevelType w:val="hybridMultilevel"/>
    <w:tmpl w:val="F9B40C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95EFF"/>
    <w:multiLevelType w:val="hybridMultilevel"/>
    <w:tmpl w:val="6D82A4F0"/>
    <w:lvl w:ilvl="0" w:tplc="F426F35A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052C5"/>
    <w:multiLevelType w:val="hybridMultilevel"/>
    <w:tmpl w:val="0A70BD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07888"/>
    <w:multiLevelType w:val="hybridMultilevel"/>
    <w:tmpl w:val="726E4BD0"/>
    <w:lvl w:ilvl="0" w:tplc="FB5A784E">
      <w:start w:val="1"/>
      <w:numFmt w:val="bullet"/>
      <w:lvlText w:val="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86B41A0"/>
    <w:multiLevelType w:val="hybridMultilevel"/>
    <w:tmpl w:val="263AFE4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176ED"/>
    <w:multiLevelType w:val="hybridMultilevel"/>
    <w:tmpl w:val="65CCB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444BE"/>
    <w:multiLevelType w:val="hybridMultilevel"/>
    <w:tmpl w:val="44E2E1F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9"/>
  </w:num>
  <w:num w:numId="5">
    <w:abstractNumId w:val="6"/>
  </w:num>
  <w:num w:numId="6">
    <w:abstractNumId w:val="8"/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BBB"/>
    <w:rsid w:val="000566C6"/>
    <w:rsid w:val="000D26B1"/>
    <w:rsid w:val="000E7236"/>
    <w:rsid w:val="00111EEB"/>
    <w:rsid w:val="00122061"/>
    <w:rsid w:val="0012773B"/>
    <w:rsid w:val="00155230"/>
    <w:rsid w:val="00185516"/>
    <w:rsid w:val="0019775F"/>
    <w:rsid w:val="001B4A38"/>
    <w:rsid w:val="002A5F75"/>
    <w:rsid w:val="002C4547"/>
    <w:rsid w:val="002C6027"/>
    <w:rsid w:val="00326BBB"/>
    <w:rsid w:val="00350041"/>
    <w:rsid w:val="00352208"/>
    <w:rsid w:val="00365841"/>
    <w:rsid w:val="00370A2E"/>
    <w:rsid w:val="003B5D48"/>
    <w:rsid w:val="005511FA"/>
    <w:rsid w:val="005D1F53"/>
    <w:rsid w:val="00630E80"/>
    <w:rsid w:val="00645EBC"/>
    <w:rsid w:val="00676C00"/>
    <w:rsid w:val="00795FDB"/>
    <w:rsid w:val="00872FE9"/>
    <w:rsid w:val="008877CB"/>
    <w:rsid w:val="008E2A0C"/>
    <w:rsid w:val="00901B46"/>
    <w:rsid w:val="00923EFE"/>
    <w:rsid w:val="00943C8D"/>
    <w:rsid w:val="0098608B"/>
    <w:rsid w:val="00A80EF0"/>
    <w:rsid w:val="00AA3586"/>
    <w:rsid w:val="00B263A1"/>
    <w:rsid w:val="00B37913"/>
    <w:rsid w:val="00B508CC"/>
    <w:rsid w:val="00B94188"/>
    <w:rsid w:val="00BF1EDF"/>
    <w:rsid w:val="00C0185F"/>
    <w:rsid w:val="00CF1322"/>
    <w:rsid w:val="00D978B5"/>
    <w:rsid w:val="00DA2417"/>
    <w:rsid w:val="00DE4CB1"/>
    <w:rsid w:val="00E24587"/>
    <w:rsid w:val="00E37283"/>
    <w:rsid w:val="00E70610"/>
    <w:rsid w:val="00F7238E"/>
    <w:rsid w:val="00F776E7"/>
    <w:rsid w:val="00FE2F2F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E87BC2-2010-42B1-B323-86C78668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A3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B4A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4A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1B4A38"/>
    <w:pPr>
      <w:keepNext/>
      <w:spacing w:before="240" w:after="60"/>
      <w:outlineLvl w:val="2"/>
    </w:pPr>
    <w:rPr>
      <w:rFonts w:eastAsia="Times New Roman"/>
      <w:b/>
      <w:bCs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1B4A38"/>
    <w:pPr>
      <w:ind w:left="720"/>
      <w:contextualSpacing/>
    </w:pPr>
    <w:rPr>
      <w:rFonts w:eastAsia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1B4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B4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rsid w:val="001B4A38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1B4A38"/>
    <w:pPr>
      <w:ind w:left="720"/>
      <w:contextualSpacing/>
    </w:pPr>
    <w:rPr>
      <w:rFonts w:eastAsia="Times New Roman"/>
    </w:rPr>
  </w:style>
  <w:style w:type="table" w:styleId="Tablaconcuadrcula">
    <w:name w:val="Table Grid"/>
    <w:basedOn w:val="Tablanormal"/>
    <w:uiPriority w:val="59"/>
    <w:rsid w:val="00AA3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522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535</Words>
  <Characters>2947</Characters>
  <Application>Microsoft Office Word</Application>
  <DocSecurity>0</DocSecurity>
  <Lines>24</Lines>
  <Paragraphs>6</Paragraphs>
  <ScaleCrop>false</ScaleCrop>
  <Company>Abi</Company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47</cp:revision>
  <dcterms:created xsi:type="dcterms:W3CDTF">2014-11-20T01:26:00Z</dcterms:created>
  <dcterms:modified xsi:type="dcterms:W3CDTF">2015-10-11T22:01:00Z</dcterms:modified>
</cp:coreProperties>
</file>