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color w:val="1A1A2E"/>
          <w:sz w:val="44"/>
        </w:rPr>
        <w:t>Design Document</w:t>
      </w:r>
    </w:p>
    <w:p>
      <w:pPr>
        <w:jc w:val="center"/>
      </w:pPr>
      <w:r>
        <w:rPr>
          <w:rFonts w:ascii="Times New Roman" w:hAnsi="Times New Roman"/>
          <w:color w:val="444444"/>
          <w:sz w:val="26"/>
        </w:rPr>
        <w:t>Agentic AI Extension of the Student Survey System</w:t>
      </w:r>
    </w:p>
    <w:p>
      <w:pPr>
        <w:jc w:val="center"/>
      </w:pPr>
      <w:r>
        <w:rPr>
          <w:rFonts w:ascii="Times New Roman" w:hAnsi="Times New Roman"/>
          <w:color w:val="444444"/>
          <w:sz w:val="26"/>
        </w:rPr>
        <w:t>Using LangGraph and FastMCP</w:t>
      </w:r>
    </w:p>
    <w:p/>
    <w:p>
      <w:pPr>
        <w:spacing w:after="80"/>
        <w:jc w:val="center"/>
      </w:pPr>
      <w:r>
        <w:rPr>
          <w:rFonts w:ascii="Times New Roman" w:hAnsi="Times New Roman"/>
          <w:color w:val="555555"/>
          <w:sz w:val="22"/>
        </w:rPr>
        <w:t>Course: SWE 645 — Extra Credit Assignment</w:t>
      </w:r>
    </w:p>
    <w:p>
      <w:pPr>
        <w:spacing w:after="80"/>
        <w:jc w:val="center"/>
      </w:pPr>
      <w:r>
        <w:rPr>
          <w:rFonts w:ascii="Times New Roman" w:hAnsi="Times New Roman"/>
          <w:color w:val="555555"/>
          <w:sz w:val="22"/>
        </w:rPr>
        <w:t>Team: Mann Desai  |  Tisha  |  Aakash  |  Yash</w:t>
      </w:r>
    </w:p>
    <w:p>
      <w:pPr>
        <w:spacing w:after="80"/>
        <w:jc w:val="center"/>
      </w:pPr>
      <w:r>
        <w:rPr>
          <w:rFonts w:ascii="Times New Roman" w:hAnsi="Times New Roman"/>
          <w:color w:val="555555"/>
          <w:sz w:val="22"/>
        </w:rPr>
        <w:t>Date: April 2026</w:t>
      </w:r>
    </w:p>
    <w:p>
      <w:r>
        <w:br w:type="page"/>
      </w:r>
    </w:p>
    <w:p>
      <w:pPr>
        <w:spacing w:before="360" w:after="120"/>
        <w:pBdr>
          <w:bottom w:val="single" w:sz="6" w:space="2" w:color="AAAAAA"/>
        </w:pBdr>
      </w:pPr>
      <w:r>
        <w:rPr>
          <w:rFonts w:ascii="Times New Roman" w:hAnsi="Times New Roman"/>
          <w:b/>
          <w:color w:val="1A1A2E"/>
          <w:sz w:val="26"/>
        </w:rPr>
        <w:t>1. Introduction</w:t>
      </w:r>
    </w:p>
    <w:p>
      <w:pPr>
        <w:spacing w:after="160"/>
        <w:jc w:val="both"/>
      </w:pPr>
      <w:r>
        <w:rPr>
          <w:rFonts w:ascii="Times New Roman" w:hAnsi="Times New Roman"/>
          <w:sz w:val="22"/>
        </w:rPr>
        <w:t>For this extra credit assignment, we took the Student Survey system we built in Homework 3 and added an AI-powered layer on top of it. The original system let users submit and manage surveys through a standard React form and a FastAPI REST backend. What we added here is a completely separate conversational interface so that a user can type something like "delete John Doe's survey" and the system will figure out what they mean, find the right record, ask for confirmation, and carry out the action — all without the user clicking through any forms.</w:t>
      </w:r>
    </w:p>
    <w:p>
      <w:pPr>
        <w:spacing w:after="160"/>
        <w:jc w:val="both"/>
      </w:pPr>
      <w:r>
        <w:rPr>
          <w:rFonts w:ascii="Times New Roman" w:hAnsi="Times New Roman"/>
          <w:sz w:val="22"/>
        </w:rPr>
        <w:t>The core idea was to keep everything we already had intact and build the AI orchestration layer on top of it. We didn't rewrite the backend or touch the existing REST routes; we just exposed the same database operations as MCP tools so the agent could call them.</w:t>
      </w:r>
    </w:p>
    <w:p>
      <w:pPr>
        <w:spacing w:after="160"/>
        <w:jc w:val="both"/>
      </w:pPr>
      <w:r>
        <w:rPr>
          <w:rFonts w:ascii="Times New Roman" w:hAnsi="Times New Roman"/>
          <w:sz w:val="22"/>
        </w:rPr>
        <w:t>The overall architecture is shown in Figure 1 below:</w:t>
      </w:r>
    </w:p>
    <w:p>
      <w:pPr>
        <w:jc w:val="center"/>
      </w:pPr>
      <w:r>
        <w:drawing>
          <wp:inline xmlns:a="http://schemas.openxmlformats.org/drawingml/2006/main" xmlns:pic="http://schemas.openxmlformats.org/drawingml/2006/picture">
            <wp:extent cx="5303520" cy="3079681"/>
            <wp:docPr id="1" name="Picture 1"/>
            <wp:cNvGraphicFramePr>
              <a:graphicFrameLocks noChangeAspect="1"/>
            </wp:cNvGraphicFramePr>
            <a:graphic>
              <a:graphicData uri="http://schemas.openxmlformats.org/drawingml/2006/picture">
                <pic:pic>
                  <pic:nvPicPr>
                    <pic:cNvPr id="0" name="arch-diagram.png"/>
                    <pic:cNvPicPr/>
                  </pic:nvPicPr>
                  <pic:blipFill>
                    <a:blip r:embed="rId9"/>
                    <a:stretch>
                      <a:fillRect/>
                    </a:stretch>
                  </pic:blipFill>
                  <pic:spPr>
                    <a:xfrm>
                      <a:off x="0" y="0"/>
                      <a:ext cx="5303520" cy="3079681"/>
                    </a:xfrm>
                    <a:prstGeom prst="rect"/>
                  </pic:spPr>
                </pic:pic>
              </a:graphicData>
            </a:graphic>
          </wp:inline>
        </w:drawing>
      </w:r>
    </w:p>
    <w:p>
      <w:pPr>
        <w:spacing w:before="60" w:after="200"/>
        <w:jc w:val="center"/>
      </w:pPr>
      <w:r>
        <w:rPr>
          <w:rFonts w:ascii="Times New Roman" w:hAnsi="Times New Roman"/>
          <w:i/>
          <w:color w:val="6B7280"/>
          <w:sz w:val="17"/>
        </w:rPr>
        <w:t>Figure 1 — System Architecture: three Kubernetes pods with LangGraph agent, FastMCP backend, and MySQL RDS.</w:t>
      </w:r>
    </w:p>
    <w:p>
      <w:pPr>
        <w:spacing w:after="160"/>
        <w:jc w:val="both"/>
      </w:pPr>
      <w:r>
        <w:rPr>
          <w:rFonts w:ascii="Times New Roman" w:hAnsi="Times New Roman"/>
          <w:sz w:val="22"/>
        </w:rPr>
        <w:t>Each of those three pods is independently deployed on Kubernetes and managed via Helm charts. The agent communicates with the MCP backend over HTTP inside the cluster, and the React frontend talks to the agent through a simple REST endpoint exposed at POST /agent/query.</w:t>
      </w:r>
    </w:p>
    <w:p>
      <w:pPr>
        <w:spacing w:before="360" w:after="120"/>
        <w:pBdr>
          <w:bottom w:val="single" w:sz="6" w:space="2" w:color="AAAAAA"/>
        </w:pBdr>
      </w:pPr>
      <w:r>
        <w:rPr>
          <w:rFonts w:ascii="Times New Roman" w:hAnsi="Times New Roman"/>
          <w:b/>
          <w:color w:val="1A1A2E"/>
          <w:sz w:val="26"/>
        </w:rPr>
        <w:t>2. LangGraph Graph Design</w:t>
      </w:r>
    </w:p>
    <w:p>
      <w:pPr>
        <w:spacing w:after="160"/>
        <w:jc w:val="both"/>
      </w:pPr>
      <w:r>
        <w:rPr>
          <w:rFonts w:ascii="Times New Roman" w:hAnsi="Times New Roman"/>
          <w:sz w:val="22"/>
        </w:rPr>
        <w:t>The agent is built as a LangGraph StateGraph. We chose LangGraph because it lets you define exactly what happens at each step and how decisions are made, rather than relying on the LLM to figure all of that out on its own. For a system that can delete database records, that level of control matters.</w:t>
      </w:r>
    </w:p>
    <w:p>
      <w:pPr>
        <w:spacing w:before="240" w:after="80"/>
      </w:pPr>
      <w:r>
        <w:rPr>
          <w:rFonts w:ascii="Times New Roman" w:hAnsi="Times New Roman"/>
          <w:b/>
          <w:color w:val="2C3E50"/>
          <w:sz w:val="23"/>
        </w:rPr>
        <w:t>State Object</w:t>
      </w:r>
    </w:p>
    <w:p>
      <w:pPr>
        <w:spacing w:after="160"/>
        <w:jc w:val="both"/>
      </w:pPr>
      <w:r>
        <w:rPr>
          <w:rFonts w:ascii="Times New Roman" w:hAnsi="Times New Roman"/>
          <w:sz w:val="22"/>
        </w:rPr>
        <w:t>All the information the agent needs across a conversation is stored in a typed dictionary called AgentState. The most important fields are:</w:t>
      </w:r>
    </w:p>
    <w:tbl>
      <w:tblPr>
        <w:tblStyle w:val="TableGrid"/>
        <w:tblW w:type="auto" w:w="0"/>
        <w:tblLook w:firstColumn="1" w:firstRow="1" w:lastColumn="0" w:lastRow="0" w:noHBand="0" w:noVBand="1" w:val="04A0"/>
      </w:tblPr>
      <w:tblGrid>
        <w:gridCol w:w="4464"/>
        <w:gridCol w:w="4464"/>
      </w:tblGrid>
      <w:tr>
        <w:tc>
          <w:tcPr>
            <w:tcW w:type="dxa" w:w="2736"/>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Field</w:t>
            </w:r>
          </w:p>
        </w:tc>
        <w:tc>
          <w:tcPr>
            <w:tcW w:type="dxa" w:w="5472"/>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What it holds</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messages</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Full chat history so the LLM has context</w:t>
            </w:r>
          </w:p>
        </w:tc>
      </w:tr>
      <w:tr>
        <w:tc>
          <w:tcPr>
            <w:tcW w:type="dxa" w:w="273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intent</w:t>
            </w:r>
          </w:p>
        </w:tc>
        <w:tc>
          <w:tcPr>
            <w:tcW w:type="dxa" w:w="5472"/>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What the user wants: create / read / update / delete / confirm / cancel</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draft_survey</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Partially filled survey during a multi-turn create flow</w:t>
            </w:r>
          </w:p>
        </w:tc>
      </w:tr>
      <w:tr>
        <w:tc>
          <w:tcPr>
            <w:tcW w:type="dxa" w:w="273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missing_fields</w:t>
            </w:r>
          </w:p>
        </w:tc>
        <w:tc>
          <w:tcPr>
            <w:tcW w:type="dxa" w:w="5472"/>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Which fields the agent still needs to ask about</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target_survey_id</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ID of the survey being updated or deleted</w:t>
            </w:r>
          </w:p>
        </w:tc>
      </w:tr>
      <w:tr>
        <w:tc>
          <w:tcPr>
            <w:tcW w:type="dxa" w:w="273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update_changes</w:t>
            </w:r>
          </w:p>
        </w:tc>
        <w:tc>
          <w:tcPr>
            <w:tcW w:type="dxa" w:w="5472"/>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Specific fields to change in an update</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awaiting</w:t>
            </w:r>
          </w:p>
        </w:tc>
        <w:tc>
          <w:tcPr>
            <w:tcW w:type="dxa" w:w="547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Whether we're waiting for user confirmation before executing</w:t>
            </w:r>
          </w:p>
        </w:tc>
      </w:tr>
      <w:tr>
        <w:tc>
          <w:tcPr>
            <w:tcW w:type="dxa" w:w="273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response_text</w:t>
            </w:r>
          </w:p>
        </w:tc>
        <w:tc>
          <w:tcPr>
            <w:tcW w:type="dxa" w:w="5472"/>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The final message to send back to the user</w:t>
            </w:r>
          </w:p>
        </w:tc>
      </w:tr>
    </w:tbl>
    <w:p/>
    <w:p>
      <w:pPr>
        <w:spacing w:after="160"/>
        <w:jc w:val="both"/>
      </w:pPr>
      <w:r>
        <w:rPr>
          <w:rFonts w:ascii="Times New Roman" w:hAnsi="Times New Roman"/>
          <w:sz w:val="22"/>
        </w:rPr>
        <w:t>The awaiting field is what makes the human-in-the-loop safety work. When the agent identifies a survey to delete and displays its details, it sets awaiting = "delete_confirm" and returns to the user. On the next message, the router checks that field before doing anything — if the user said "yes," it routes to delete_execute; otherwise it cancels.</w:t>
      </w:r>
    </w:p>
    <w:p>
      <w:pPr>
        <w:spacing w:before="240" w:after="80"/>
      </w:pPr>
      <w:r>
        <w:rPr>
          <w:rFonts w:ascii="Times New Roman" w:hAnsi="Times New Roman"/>
          <w:b/>
          <w:color w:val="2C3E50"/>
          <w:sz w:val="23"/>
        </w:rPr>
        <w:t>Graph Topology</w:t>
      </w:r>
    </w:p>
    <w:p>
      <w:pPr>
        <w:spacing w:after="160"/>
        <w:jc w:val="both"/>
      </w:pPr>
      <w:r>
        <w:rPr>
          <w:rFonts w:ascii="Times New Roman" w:hAnsi="Times New Roman"/>
          <w:sz w:val="22"/>
        </w:rPr>
        <w:t>The full LangGraph workflow is shown in Figure 2:</w:t>
      </w:r>
    </w:p>
    <w:p>
      <w:pPr>
        <w:jc w:val="center"/>
      </w:pPr>
      <w:r>
        <w:drawing>
          <wp:inline xmlns:a="http://schemas.openxmlformats.org/drawingml/2006/main" xmlns:pic="http://schemas.openxmlformats.org/drawingml/2006/picture">
            <wp:extent cx="5303520" cy="3428748"/>
            <wp:docPr id="2" name="Picture 2"/>
            <wp:cNvGraphicFramePr>
              <a:graphicFrameLocks noChangeAspect="1"/>
            </wp:cNvGraphicFramePr>
            <a:graphic>
              <a:graphicData uri="http://schemas.openxmlformats.org/drawingml/2006/picture">
                <pic:pic>
                  <pic:nvPicPr>
                    <pic:cNvPr id="0" name="langgraph-diagram.png"/>
                    <pic:cNvPicPr/>
                  </pic:nvPicPr>
                  <pic:blipFill>
                    <a:blip r:embed="rId10"/>
                    <a:stretch>
                      <a:fillRect/>
                    </a:stretch>
                  </pic:blipFill>
                  <pic:spPr>
                    <a:xfrm>
                      <a:off x="0" y="0"/>
                      <a:ext cx="5303520" cy="3428748"/>
                    </a:xfrm>
                    <a:prstGeom prst="rect"/>
                  </pic:spPr>
                </pic:pic>
              </a:graphicData>
            </a:graphic>
          </wp:inline>
        </w:drawing>
      </w:r>
    </w:p>
    <w:p>
      <w:pPr>
        <w:spacing w:before="60" w:after="200"/>
        <w:jc w:val="center"/>
      </w:pPr>
      <w:r>
        <w:rPr>
          <w:rFonts w:ascii="Times New Roman" w:hAnsi="Times New Roman"/>
          <w:i/>
          <w:color w:val="6B7280"/>
          <w:sz w:val="17"/>
        </w:rPr>
        <w:t>Figure 2 — LangGraph workflow: intent classification routes into four CRUD branches, each with a confirmation gate before destructive operations.</w:t>
      </w:r>
    </w:p>
    <w:p>
      <w:pPr>
        <w:spacing w:before="240" w:after="80"/>
      </w:pPr>
      <w:r>
        <w:rPr>
          <w:rFonts w:ascii="Times New Roman" w:hAnsi="Times New Roman"/>
          <w:b/>
          <w:color w:val="2C3E50"/>
          <w:sz w:val="23"/>
        </w:rPr>
        <w:t>How Routing Works</w:t>
      </w:r>
    </w:p>
    <w:p>
      <w:pPr>
        <w:spacing w:after="160"/>
        <w:jc w:val="both"/>
      </w:pPr>
      <w:r>
        <w:rPr>
          <w:rFonts w:ascii="Times New Roman" w:hAnsi="Times New Roman"/>
          <w:sz w:val="22"/>
        </w:rPr>
        <w:t>After the intent node runs, a conditional edge function called _route_from_intent decides where to go next. It first checks whether awaiting is set — if the user just replied "yes" to a pending delete confirmation, it routes straight to delete_execute regardless of how the LLM interpreted the word "yes." That check takes priority over everything else. Only if there's no pending confirmation does it route based on the classified intent.</w:t>
      </w:r>
    </w:p>
    <w:p>
      <w:pPr>
        <w:spacing w:before="240" w:after="80"/>
      </w:pPr>
      <w:r>
        <w:rPr>
          <w:rFonts w:ascii="Times New Roman" w:hAnsi="Times New Roman"/>
          <w:b/>
          <w:color w:val="2C3E50"/>
          <w:sz w:val="23"/>
        </w:rPr>
        <w:t>Session Persistence</w:t>
      </w:r>
    </w:p>
    <w:p>
      <w:pPr>
        <w:spacing w:after="160"/>
        <w:jc w:val="both"/>
      </w:pPr>
      <w:r>
        <w:rPr>
          <w:rFonts w:ascii="Times New Roman" w:hAnsi="Times New Roman"/>
          <w:sz w:val="22"/>
        </w:rPr>
        <w:t>LangGraph graphs don't carry state between HTTP requests by themselves. We handle this with an in-memory Python dictionary keyed by session_id. Every time the user sends a message, the server rehydrates the stored state, runs the graph, and saves the updated state back. It's simple and works well for a per-session conversation without needing a full external state store.</w:t>
      </w:r>
    </w:p>
    <w:p>
      <w:r>
        <w:br w:type="page"/>
      </w:r>
    </w:p>
    <w:p>
      <w:pPr>
        <w:spacing w:before="360" w:after="120"/>
        <w:pBdr>
          <w:bottom w:val="single" w:sz="6" w:space="2" w:color="AAAAAA"/>
        </w:pBdr>
      </w:pPr>
      <w:r>
        <w:rPr>
          <w:rFonts w:ascii="Times New Roman" w:hAnsi="Times New Roman"/>
          <w:b/>
          <w:color w:val="1A1A2E"/>
          <w:sz w:val="26"/>
        </w:rPr>
        <w:t>3. MCP Tools Implemented</w:t>
      </w:r>
    </w:p>
    <w:p>
      <w:pPr>
        <w:spacing w:after="160"/>
        <w:jc w:val="both"/>
      </w:pPr>
      <w:r>
        <w:rPr>
          <w:rFonts w:ascii="Times New Roman" w:hAnsi="Times New Roman"/>
          <w:sz w:val="22"/>
        </w:rPr>
        <w:t>The tool layer lives in backend/mcp_tools.py and is served by FastMCP, which is mounted as a sub-app inside our existing FastAPI backend at the path /mcp. The agent connects to it using langchain-mcp-adapters. We implemented all six tools the assignment required:</w:t>
      </w:r>
    </w:p>
    <w:tbl>
      <w:tblPr>
        <w:tblStyle w:val="TableGrid"/>
        <w:tblW w:type="auto" w:w="0"/>
        <w:tblLook w:firstColumn="1" w:firstRow="1" w:lastColumn="0" w:lastRow="0" w:noHBand="0" w:noVBand="1" w:val="04A0"/>
      </w:tblPr>
      <w:tblGrid>
        <w:gridCol w:w="2976"/>
        <w:gridCol w:w="2976"/>
        <w:gridCol w:w="2976"/>
      </w:tblGrid>
      <w:tr>
        <w:tc>
          <w:tcPr>
            <w:tcW w:type="dxa" w:w="2160"/>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Tool</w:t>
            </w:r>
          </w:p>
        </w:tc>
        <w:tc>
          <w:tcPr>
            <w:tcW w:type="dxa" w:w="2160"/>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Parameters</w:t>
            </w:r>
          </w:p>
        </w:tc>
        <w:tc>
          <w:tcPr>
            <w:tcW w:type="dxa" w:w="3888"/>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What it does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create_survey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All 12 required fields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Inserts a new survey and returns it with its assigned ID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list_surveys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None</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Returns every survey record in the database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get_survey_by_id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survey_id</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Fetches a single survey by its numeric ID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search_surveys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9 optional filters</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Case-insensitive partial-match search by name, city, state, liked_most, interested_via, recommendation, and date range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update_survey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survey_id + any subset of fields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Patches only the provided fields, leaves others unchanged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delete_survey</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survey_id</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Deletes the survey and returns a snapshot of what was deleted</w:t>
            </w:r>
          </w:p>
        </w:tc>
      </w:tr>
    </w:tbl>
    <w:p/>
    <w:p>
      <w:pPr>
        <w:spacing w:after="160"/>
        <w:jc w:val="both"/>
      </w:pPr>
      <w:r>
        <w:rPr>
          <w:rFonts w:ascii="Times New Roman" w:hAnsi="Times New Roman"/>
          <w:sz w:val="22"/>
        </w:rPr>
        <w:t>All tools reuse the same SQLModel ORM session that the REST API uses, so there's one source of truth for the database schema. Each tool has a docstring describing its behavior — this matters because the LLM uses those descriptions to decide which tool to call.</w:t>
      </w:r>
    </w:p>
    <w:p>
      <w:pPr>
        <w:spacing w:before="360" w:after="120"/>
        <w:pBdr>
          <w:bottom w:val="single" w:sz="6" w:space="2" w:color="AAAAAA"/>
        </w:pBdr>
      </w:pPr>
      <w:r>
        <w:rPr>
          <w:rFonts w:ascii="Times New Roman" w:hAnsi="Times New Roman"/>
          <w:b/>
          <w:color w:val="1A1A2E"/>
          <w:sz w:val="26"/>
        </w:rPr>
        <w:t>4. React Chat Interface</w:t>
      </w:r>
    </w:p>
    <w:p>
      <w:pPr>
        <w:spacing w:after="160"/>
        <w:jc w:val="both"/>
      </w:pPr>
      <w:r>
        <w:rPr>
          <w:rFonts w:ascii="Times New Roman" w:hAnsi="Times New Roman"/>
          <w:sz w:val="22"/>
        </w:rPr>
        <w:t>We added a new page called "AI Survey Assistant" to the existing React app, accessible from a new nav link. The layout follows the suggested design from the assignment spec, with three panels:</w:t>
      </w:r>
    </w:p>
    <w:p>
      <w:pPr>
        <w:pStyle w:val="ListBullet"/>
        <w:spacing w:after="100"/>
      </w:pPr>
      <w:r>
        <w:rPr>
          <w:rFonts w:ascii="Times New Roman" w:hAnsi="Times New Roman"/>
          <w:b/>
          <w:sz w:val="22"/>
        </w:rPr>
        <w:t xml:space="preserve">Left panel — </w:t>
      </w:r>
      <w:r>
        <w:rPr>
          <w:rFonts w:ascii="Times New Roman" w:hAnsi="Times New Roman"/>
          <w:sz w:val="22"/>
        </w:rPr>
        <w:t>explains what the agent can do, lists all the fields needed to create a survey, and includes eight clickable example prompts users can try without having to type anything.</w:t>
      </w:r>
    </w:p>
    <w:p>
      <w:pPr>
        <w:pStyle w:val="ListBullet"/>
        <w:spacing w:after="100"/>
      </w:pPr>
      <w:r>
        <w:rPr>
          <w:rFonts w:ascii="Times New Roman" w:hAnsi="Times New Roman"/>
          <w:b/>
          <w:sz w:val="22"/>
        </w:rPr>
        <w:t xml:space="preserve">Main chat area — </w:t>
      </w:r>
      <w:r>
        <w:rPr>
          <w:rFonts w:ascii="Times New Roman" w:hAnsi="Times New Roman"/>
          <w:sz w:val="22"/>
        </w:rPr>
        <w:t>a scrollable message thread with user messages on the right (dark blue bubbles) and agent responses on the left (white bubbles). It shows a "Thinking..." indicator while waiting for the agent and supports Enter-to-send.</w:t>
      </w:r>
    </w:p>
    <w:p>
      <w:pPr>
        <w:pStyle w:val="ListBullet"/>
        <w:spacing w:after="100"/>
      </w:pPr>
      <w:r>
        <w:rPr>
          <w:rFonts w:ascii="Times New Roman" w:hAnsi="Times New Roman"/>
          <w:b/>
          <w:sz w:val="22"/>
        </w:rPr>
        <w:t xml:space="preserve">Right panel — </w:t>
      </w:r>
      <w:r>
        <w:rPr>
          <w:rFonts w:ascii="Times New Roman" w:hAnsi="Times New Roman"/>
          <w:sz w:val="22"/>
        </w:rPr>
        <w:t>a small log of recent agent actions (created, updated, deleted, queried) so the user can track what has been done without scrolling back through the conversation.</w:t>
      </w:r>
    </w:p>
    <w:p/>
    <w:p>
      <w:pPr>
        <w:spacing w:after="160"/>
        <w:jc w:val="both"/>
      </w:pPr>
      <w:r>
        <w:rPr>
          <w:rFonts w:ascii="Times New Roman" w:hAnsi="Times New Roman"/>
          <w:sz w:val="22"/>
        </w:rPr>
        <w:t>The component generates a UUID session ID when it first loads and sends it with every message. This is how the server knows which in-memory state to load for that conversation. Multi-turn state — like remembering we're halfway through collecting fields for a new survey — is handled entirely on the server side. The frontend just sends messages and renders responses.</w:t>
      </w:r>
    </w:p>
    <w:p>
      <w:pPr>
        <w:spacing w:before="360" w:after="120"/>
        <w:pBdr>
          <w:bottom w:val="single" w:sz="6" w:space="2" w:color="AAAAAA"/>
        </w:pBdr>
      </w:pPr>
      <w:r>
        <w:rPr>
          <w:rFonts w:ascii="Times New Roman" w:hAnsi="Times New Roman"/>
          <w:b/>
          <w:color w:val="1A1A2E"/>
          <w:sz w:val="26"/>
        </w:rPr>
        <w:t>5. Kubernetes and Helm Deployment</w:t>
      </w:r>
    </w:p>
    <w:p>
      <w:pPr>
        <w:spacing w:after="160"/>
        <w:jc w:val="both"/>
      </w:pPr>
      <w:r>
        <w:rPr>
          <w:rFonts w:ascii="Times New Roman" w:hAnsi="Times New Roman"/>
          <w:sz w:val="22"/>
        </w:rPr>
        <w:t>We created a Helm chart at helm/student-survey/ that deploys the full system as three separate pods, matching exactly what the assignment requires:</w:t>
      </w:r>
    </w:p>
    <w:tbl>
      <w:tblPr>
        <w:tblStyle w:val="TableGrid"/>
        <w:tblW w:type="auto" w:w="0"/>
        <w:tblLook w:firstColumn="1" w:firstRow="1" w:lastColumn="0" w:lastRow="0" w:noHBand="0" w:noVBand="1" w:val="04A0"/>
      </w:tblPr>
      <w:tblGrid>
        <w:gridCol w:w="2976"/>
        <w:gridCol w:w="2976"/>
        <w:gridCol w:w="2976"/>
      </w:tblGrid>
      <w:tr>
        <w:tc>
          <w:tcPr>
            <w:tcW w:type="dxa" w:w="2736"/>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Pod</w:t>
            </w:r>
          </w:p>
        </w:tc>
        <w:tc>
          <w:tcPr>
            <w:tcW w:type="dxa" w:w="3024"/>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Image</w:t>
            </w:r>
          </w:p>
        </w:tc>
        <w:tc>
          <w:tcPr>
            <w:tcW w:type="dxa" w:w="2448"/>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Service Type</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Frontend (React + Nginx)</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student-survey-frontend</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LoadBalancer — port 80</w:t>
            </w:r>
          </w:p>
        </w:tc>
      </w:tr>
      <w:tr>
        <w:tc>
          <w:tcPr>
            <w:tcW w:type="dxa" w:w="273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Agent (LangGraph)</w:t>
            </w:r>
          </w:p>
        </w:tc>
        <w:tc>
          <w:tcPr>
            <w:tcW w:type="dxa" w:w="3024"/>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student-survey-agent</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ClusterIP — port 9000</w:t>
            </w:r>
          </w:p>
        </w:tc>
      </w:tr>
      <w:tr>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Backend (FastAPI + MCP)</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student-survey-backend</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ClusterIP — port 8000</w:t>
            </w:r>
          </w:p>
        </w:tc>
      </w:tr>
    </w:tbl>
    <w:p/>
    <w:p>
      <w:pPr>
        <w:spacing w:after="160"/>
        <w:jc w:val="both"/>
      </w:pPr>
      <w:r>
        <w:rPr>
          <w:rFonts w:ascii="Times New Roman" w:hAnsi="Times New Roman"/>
          <w:sz w:val="22"/>
        </w:rPr>
        <w:t>Sensitive values — the Anthropic API key and the database connection string — are stored as Kubernetes Secrets and injected as environment variables at pod startup. No credentials are hardcoded anywhere in the Helm chart templates. The values.yaml has placeholder fields for base64-encoded secrets that get passed in at deploy time via --set.</w:t>
      </w:r>
    </w:p>
    <w:p>
      <w:pPr>
        <w:spacing w:after="160"/>
        <w:jc w:val="both"/>
      </w:pPr>
      <w:r>
        <w:rPr>
          <w:rFonts w:ascii="Times New Roman" w:hAnsi="Times New Roman"/>
          <w:sz w:val="22"/>
        </w:rPr>
        <w:t>The agent deployment reads MCP_SERVER_URL pointing to the backend service's cluster-internal DNS name, so all communication between the agent and the backend stays inside the cluster. Only the frontend is exposed externally through the LoadBalancer.</w:t>
      </w:r>
    </w:p>
    <w:p>
      <w:r>
        <w:br w:type="page"/>
      </w:r>
    </w:p>
    <w:p>
      <w:pPr>
        <w:spacing w:before="360" w:after="120"/>
        <w:pBdr>
          <w:bottom w:val="single" w:sz="6" w:space="2" w:color="AAAAAA"/>
        </w:pBdr>
      </w:pPr>
      <w:r>
        <w:rPr>
          <w:rFonts w:ascii="Times New Roman" w:hAnsi="Times New Roman"/>
          <w:b/>
          <w:color w:val="1A1A2E"/>
          <w:sz w:val="26"/>
        </w:rPr>
        <w:t>6. Challenges We Ran Into</w:t>
      </w:r>
    </w:p>
    <w:p>
      <w:pPr>
        <w:spacing w:before="240" w:after="80"/>
      </w:pPr>
      <w:r>
        <w:rPr>
          <w:rFonts w:ascii="Times New Roman" w:hAnsi="Times New Roman"/>
          <w:b/>
          <w:color w:val="2C3E50"/>
          <w:sz w:val="23"/>
        </w:rPr>
        <w:t>MCP Tool Result Format</w:t>
      </w:r>
    </w:p>
    <w:p>
      <w:pPr>
        <w:spacing w:after="160"/>
        <w:jc w:val="both"/>
      </w:pPr>
      <w:r>
        <w:rPr>
          <w:rFonts w:ascii="Times New Roman" w:hAnsi="Times New Roman"/>
          <w:sz w:val="22"/>
        </w:rPr>
        <w:t>This one took a while to figure out. Depending on the version of langchain-mcp-adapters, the same tool call could return a plain Python dict, a JSON string, or a list of MCP content blocks that looked like [{"type": "text", "text": "..."}]. The agent nodes were breaking because they expected a dict but kept getting a list. We ended up writing a small _unwrap_tool_result() utility that normalizes all three formats before any node tries to read from the result.</w:t>
      </w:r>
    </w:p>
    <w:p>
      <w:pPr>
        <w:spacing w:before="240" w:after="80"/>
      </w:pPr>
      <w:r>
        <w:rPr>
          <w:rFonts w:ascii="Times New Roman" w:hAnsi="Times New Roman"/>
          <w:b/>
          <w:color w:val="2C3E50"/>
          <w:sz w:val="23"/>
        </w:rPr>
        <w:t>Keeping Confirmation State Across HTTP Requests</w:t>
      </w:r>
    </w:p>
    <w:p>
      <w:pPr>
        <w:spacing w:after="160"/>
        <w:jc w:val="both"/>
      </w:pPr>
      <w:r>
        <w:rPr>
          <w:rFonts w:ascii="Times New Roman" w:hAnsi="Times New Roman"/>
          <w:sz w:val="22"/>
        </w:rPr>
        <w:t>The trickiest part of the whole project was making multi-turn confirmation work reliably. When the agent says "I found John Doe's survey. Do you want to delete it?" and the user replies "yes," the server receives a brand new HTTP request with no built-in memory. If we just ran intent classification on "yes," it would come back as confirm — but the router also needs to know it's confirming a delete, not a create or update. The fix was to save the awaiting field in the session store and check it before routing, so the router always knows what confirmation is pending.</w:t>
      </w:r>
    </w:p>
    <w:p>
      <w:pPr>
        <w:spacing w:before="240" w:after="80"/>
      </w:pPr>
      <w:r>
        <w:rPr>
          <w:rFonts w:ascii="Times New Roman" w:hAnsi="Times New Roman"/>
          <w:b/>
          <w:color w:val="2C3E50"/>
          <w:sz w:val="23"/>
        </w:rPr>
        <w:t>FastMCP Lifespan Inside FastAPI</w:t>
      </w:r>
    </w:p>
    <w:p>
      <w:pPr>
        <w:spacing w:after="160"/>
        <w:jc w:val="both"/>
      </w:pPr>
      <w:r>
        <w:rPr>
          <w:rFonts w:ascii="Times New Roman" w:hAnsi="Times New Roman"/>
          <w:sz w:val="22"/>
        </w:rPr>
        <w:t>FastMCP requires its own lifespan context to initialize the MCP session manager. When we mounted it as a sub-app inside FastAPI, the session manager wasn't starting and every tool call was failing with a connection error. The fix was to nest the MCP lifespan inside our FastAPI lifespan using asynccontextmanager, so both start up together. Once we figured that out it worked perfectly, but it wasn't obvious from the FastMCP docs.</w:t>
      </w:r>
    </w:p>
    <w:p>
      <w:pPr>
        <w:spacing w:before="240" w:after="80"/>
      </w:pPr>
      <w:r>
        <w:rPr>
          <w:rFonts w:ascii="Times New Roman" w:hAnsi="Times New Roman"/>
          <w:b/>
          <w:color w:val="2C3E50"/>
          <w:sz w:val="23"/>
        </w:rPr>
        <w:t>Intent Classification for Short Replies</w:t>
      </w:r>
    </w:p>
    <w:p>
      <w:pPr>
        <w:spacing w:after="160"/>
        <w:jc w:val="both"/>
      </w:pPr>
      <w:r>
        <w:rPr>
          <w:rFonts w:ascii="Times New Roman" w:hAnsi="Times New Roman"/>
          <w:sz w:val="22"/>
        </w:rPr>
        <w:t>Early on, when a user typed "yes" after a delete confirmation prompt, the LLM would sometimes classify it as unknown or even create depending on conversation context. We fixed this by adding confirm and cancel as explicit intent classes in the classification prompt with worked examples, and by always routing based on the awaiting field first before trusting the classifier.</w:t>
      </w:r>
    </w:p>
    <w:p>
      <w:pPr>
        <w:spacing w:before="240" w:after="80"/>
      </w:pPr>
      <w:r>
        <w:rPr>
          <w:rFonts w:ascii="Times New Roman" w:hAnsi="Times New Roman"/>
          <w:b/>
          <w:color w:val="2C3E50"/>
          <w:sz w:val="23"/>
        </w:rPr>
        <w:t>Vite Environment Variables at Build Time</w:t>
      </w:r>
    </w:p>
    <w:p>
      <w:pPr>
        <w:spacing w:after="160"/>
        <w:jc w:val="both"/>
      </w:pPr>
      <w:r>
        <w:rPr>
          <w:rFonts w:ascii="Times New Roman" w:hAnsi="Times New Roman"/>
          <w:sz w:val="22"/>
        </w:rPr>
        <w:t>We wanted to pass the agent URL into the React app via Docker Compose, but Vite bakes VITE_* variables at image build time, not at container runtime. So environment variables set in docker-compose.yaml under the frontend service don't actually get picked up. We resolved this by setting safe fallback values in the component code (http://localhost:8000 and http://localhost:9000), which work correctly when running locally since those ports are exposed on the host.</w:t>
      </w:r>
    </w:p>
    <w:p>
      <w:pPr>
        <w:spacing w:before="360" w:after="120"/>
        <w:pBdr>
          <w:bottom w:val="single" w:sz="6" w:space="2" w:color="AAAAAA"/>
        </w:pBdr>
      </w:pPr>
      <w:r>
        <w:rPr>
          <w:rFonts w:ascii="Times New Roman" w:hAnsi="Times New Roman"/>
          <w:b/>
          <w:color w:val="1A1A2E"/>
          <w:sz w:val="26"/>
        </w:rPr>
        <w:t>7. Tech Stack Summary</w:t>
      </w:r>
    </w:p>
    <w:tbl>
      <w:tblPr>
        <w:tblStyle w:val="TableGrid"/>
        <w:tblW w:type="auto" w:w="0"/>
        <w:tblLook w:firstColumn="1" w:firstRow="1" w:lastColumn="0" w:lastRow="0" w:noHBand="0" w:noVBand="1" w:val="04A0"/>
      </w:tblPr>
      <w:tblGrid>
        <w:gridCol w:w="4464"/>
        <w:gridCol w:w="4464"/>
      </w:tblGrid>
      <w:tr>
        <w:tc>
          <w:tcPr>
            <w:tcW w:type="dxa" w:w="2592"/>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Layer</w:t>
            </w:r>
          </w:p>
        </w:tc>
        <w:tc>
          <w:tcPr>
            <w:tcW w:type="dxa" w:w="5616"/>
            <w:shd w:val="clear" w:color="auto" w:fill="2C3E50"/>
            <w:tcBorders>
              <w:top w:val="single" w:sz="4" w:space="0" w:color="CCCCCC"/>
              <w:left w:val="single" w:sz="4" w:space="0" w:color="CCCCCC"/>
              <w:bottom w:val="single" w:sz="4" w:space="0" w:color="CCCCCC"/>
              <w:right w:val="single" w:sz="4" w:space="0" w:color="CCCCCC"/>
            </w:tcBorders>
          </w:tcPr>
          <w:p>
            <w:r>
              <w:rPr>
                <w:rFonts w:ascii="Times New Roman" w:hAnsi="Times New Roman"/>
                <w:b/>
                <w:color w:val="FFFFFF"/>
                <w:sz w:val="20"/>
              </w:rPr>
              <w:t>Technology</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Frontend</w:t>
            </w:r>
          </w:p>
        </w:tc>
        <w:tc>
          <w:tcPr>
            <w:tcW w:type="dxa" w:w="561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React 19, React Router, Axios, Vite, Nginx</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AI Agent</w:t>
            </w:r>
          </w:p>
        </w:tc>
        <w:tc>
          <w:tcPr>
            <w:tcW w:type="dxa" w:w="561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LangGraph, LangChain, Claude Haiku 4.5 (Anthropic), FastAPI</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Tool Server</w:t>
            </w:r>
          </w:p>
        </w:tc>
        <w:tc>
          <w:tcPr>
            <w:tcW w:type="dxa" w:w="561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FastMCP 2.10+, langchain-mcp-adapters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Backend ORM</w:t>
            </w:r>
          </w:p>
        </w:tc>
        <w:tc>
          <w:tcPr>
            <w:tcW w:type="dxa" w:w="561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SQLModel (SQLAlchemy + Pydantic)</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Database</w:t>
            </w:r>
          </w:p>
        </w:tc>
        <w:tc>
          <w:tcPr>
            <w:tcW w:type="dxa" w:w="561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MySQL 8 on AWS RDS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Containers</w:t>
            </w:r>
          </w:p>
        </w:tc>
        <w:tc>
          <w:tcPr>
            <w:tcW w:type="dxa" w:w="5616"/>
            <w:shd w:val="clear" w:color="auto" w:fill="F4F6F8"/>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Docker, Docker Compose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Orchestration</w:t>
            </w:r>
          </w:p>
        </w:tc>
        <w:tc>
          <w:tcPr>
            <w:tcW w:type="dxa" w:w="5616"/>
            <w:shd w:val="clear" w:color="auto" w:fill="FFFFFF"/>
            <w:tcBorders>
              <w:top w:val="single" w:sz="4" w:space="0" w:color="CCCCCC"/>
              <w:left w:val="single" w:sz="4" w:space="0" w:color="CCCCCC"/>
              <w:bottom w:val="single" w:sz="4" w:space="0" w:color="CCCCCC"/>
              <w:right w:val="single" w:sz="4" w:space="0" w:color="CCCCCC"/>
            </w:tcBorders>
          </w:tcPr>
          <w:p>
            <w:r>
              <w:rPr>
                <w:rFonts w:ascii="Times New Roman" w:hAnsi="Times New Roman"/>
                <w:sz w:val="19"/>
              </w:rPr>
              <w:t>Kubernetes, Helm 3</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