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5AEE" w:rsidRPr="0031576B" w:rsidRDefault="0031576B" w:rsidP="0031576B">
      <w:pPr>
        <w:spacing w:after="0" w:line="240" w:lineRule="auto"/>
        <w:rPr>
          <w:b/>
        </w:rPr>
      </w:pPr>
      <w:r w:rsidRPr="0031576B">
        <w:rPr>
          <w:b/>
        </w:rPr>
        <w:t>Rethinking the Universalism vs. Targeting Debate</w:t>
      </w:r>
    </w:p>
    <w:p w:rsidR="0031576B" w:rsidRPr="0031576B" w:rsidRDefault="0031576B" w:rsidP="0031576B">
      <w:pPr>
        <w:spacing w:after="0" w:line="240" w:lineRule="auto"/>
        <w:rPr>
          <w:b/>
        </w:rPr>
      </w:pPr>
      <w:r w:rsidRPr="0031576B">
        <w:rPr>
          <w:b/>
        </w:rPr>
        <w:t>Raj M. Desai</w:t>
      </w:r>
    </w:p>
    <w:p w:rsidR="0031576B" w:rsidRDefault="0031576B" w:rsidP="0031576B">
      <w:pPr>
        <w:spacing w:after="0" w:line="240" w:lineRule="auto"/>
      </w:pPr>
    </w:p>
    <w:p w:rsidR="00480C09" w:rsidRDefault="00116FD1" w:rsidP="0031576B">
      <w:pPr>
        <w:spacing w:after="240" w:line="240" w:lineRule="auto"/>
      </w:pPr>
      <w:r>
        <w:t xml:space="preserve">According to the International Labor Organization’s latest </w:t>
      </w:r>
      <w:hyperlink r:id="rId4" w:history="1">
        <w:r w:rsidRPr="00AF1229">
          <w:rPr>
            <w:rStyle w:val="Hyperlink"/>
          </w:rPr>
          <w:t>Social Protection Report</w:t>
        </w:r>
      </w:hyperlink>
      <w:r>
        <w:t xml:space="preserve">, over 70 percent of the world’s population lack adequate access to social protection.  </w:t>
      </w:r>
      <w:r w:rsidR="00480C09">
        <w:t xml:space="preserve">Meanwhile, efforts around the world to redesign social safety nets have revived the debate on the merits of </w:t>
      </w:r>
      <w:hyperlink r:id="rId5" w:history="1">
        <w:r w:rsidR="00480C09" w:rsidRPr="00C05205">
          <w:rPr>
            <w:rStyle w:val="Hyperlink"/>
          </w:rPr>
          <w:t>targeting vs. universalism</w:t>
        </w:r>
      </w:hyperlink>
      <w:r w:rsidR="00480C09">
        <w:t xml:space="preserve">. </w:t>
      </w:r>
      <w:r>
        <w:t>Universal</w:t>
      </w:r>
      <w:r w:rsidR="00480C09">
        <w:t xml:space="preserve">ism, of course, </w:t>
      </w:r>
      <w:r>
        <w:t xml:space="preserve">proposes that all citizens of a nation receive the same </w:t>
      </w:r>
      <w:r w:rsidR="00480C09">
        <w:t xml:space="preserve">publicly </w:t>
      </w:r>
      <w:r>
        <w:t xml:space="preserve">provided benefits. </w:t>
      </w:r>
      <w:r w:rsidR="00480C09">
        <w:t xml:space="preserve">By </w:t>
      </w:r>
      <w:r>
        <w:t xml:space="preserve">contrast, proponents of targeting </w:t>
      </w:r>
      <w:r w:rsidR="00480C09">
        <w:t xml:space="preserve">argue for using various mechanisms to identify, and distribute the bulk of benefits to, the poor. In the 1970s and 1980s, </w:t>
      </w:r>
      <w:r w:rsidR="00480C09" w:rsidRPr="00480C09">
        <w:t>many developing countries shifted away from broad social policies that emphasized universal benefits</w:t>
      </w:r>
      <w:r w:rsidR="00480C09">
        <w:t xml:space="preserve"> (but that often </w:t>
      </w:r>
      <w:r w:rsidR="000D5C31">
        <w:t xml:space="preserve">only </w:t>
      </w:r>
      <w:r w:rsidR="00480C09">
        <w:t>covered</w:t>
      </w:r>
      <w:r w:rsidR="000D5C31">
        <w:t xml:space="preserve"> a</w:t>
      </w:r>
      <w:r w:rsidR="00480C09">
        <w:t xml:space="preserve"> small </w:t>
      </w:r>
      <w:r w:rsidR="000D5C31">
        <w:t>fraction</w:t>
      </w:r>
      <w:r w:rsidR="00480C09">
        <w:t xml:space="preserve"> of the population)</w:t>
      </w:r>
      <w:r w:rsidR="000D5C31">
        <w:t xml:space="preserve"> towards programs that required beneficiaries to meet specific criteria</w:t>
      </w:r>
      <w:r w:rsidR="00480C09">
        <w:t xml:space="preserve">. But after years of emphasizing the need to </w:t>
      </w:r>
      <w:r w:rsidR="00480C09" w:rsidRPr="00480C09">
        <w:t>target public resources to vulnerable segments of the population</w:t>
      </w:r>
      <w:r w:rsidR="00480C09">
        <w:t xml:space="preserve">, the pendulum appears to be swinging </w:t>
      </w:r>
      <w:hyperlink r:id="rId6" w:history="1">
        <w:r w:rsidR="00480C09" w:rsidRPr="00C05205">
          <w:rPr>
            <w:rStyle w:val="Hyperlink"/>
          </w:rPr>
          <w:t>back towards universalism</w:t>
        </w:r>
      </w:hyperlink>
      <w:r w:rsidR="00480C09">
        <w:t>.</w:t>
      </w:r>
      <w:r w:rsidR="00D55AEE">
        <w:t xml:space="preserve"> What does this imply for developing countries seeking to expand their </w:t>
      </w:r>
      <w:r w:rsidR="00DD5997">
        <w:t xml:space="preserve">systems of </w:t>
      </w:r>
      <w:r w:rsidR="00D55AEE">
        <w:t>social protection?</w:t>
      </w:r>
    </w:p>
    <w:p w:rsidR="00480C09" w:rsidRDefault="00480C09" w:rsidP="0031576B">
      <w:pPr>
        <w:spacing w:after="240" w:line="240" w:lineRule="auto"/>
      </w:pPr>
      <w:r>
        <w:t>The merits of universalism</w:t>
      </w:r>
      <w:r w:rsidR="000D5E70">
        <w:t>, for its defenders,</w:t>
      </w:r>
      <w:r>
        <w:t xml:space="preserve"> are clear. </w:t>
      </w:r>
      <w:r w:rsidR="000D5E70">
        <w:t xml:space="preserve">First there is the issue of accuracy, in that the information needed to identify accurately the poor is often complex and imprecise, and that the poorest countries often lack the statistical capacity to resolve these issues. Additionally, there is evidence that, because of the burdens placed on state administrations, universal benefits are </w:t>
      </w:r>
      <w:hyperlink r:id="rId7" w:history="1">
        <w:r w:rsidR="000D5E70" w:rsidRPr="0033403E">
          <w:rPr>
            <w:rStyle w:val="Hyperlink"/>
          </w:rPr>
          <w:t>sometimes cheaper</w:t>
        </w:r>
      </w:hyperlink>
      <w:r w:rsidR="000D5E70">
        <w:t xml:space="preserve"> than targeting in the real world.</w:t>
      </w:r>
      <w:r w:rsidR="0043290D">
        <w:t xml:space="preserve"> </w:t>
      </w:r>
      <w:r w:rsidR="003262EF">
        <w:t>I</w:t>
      </w:r>
      <w:r w:rsidR="0043290D">
        <w:t xml:space="preserve">t has </w:t>
      </w:r>
      <w:r w:rsidR="003262EF">
        <w:t xml:space="preserve">also </w:t>
      </w:r>
      <w:r w:rsidR="0043290D">
        <w:t xml:space="preserve">been argued that targeted programs create </w:t>
      </w:r>
      <w:hyperlink r:id="rId8" w:history="1">
        <w:r w:rsidR="0033403E" w:rsidRPr="0033403E">
          <w:rPr>
            <w:rStyle w:val="Hyperlink"/>
          </w:rPr>
          <w:t>tensions</w:t>
        </w:r>
      </w:hyperlink>
      <w:r w:rsidR="0033403E">
        <w:t xml:space="preserve"> between </w:t>
      </w:r>
      <w:r w:rsidR="0043290D">
        <w:t>those</w:t>
      </w:r>
      <w:r w:rsidR="0033403E">
        <w:t xml:space="preserve"> who are</w:t>
      </w:r>
      <w:r w:rsidR="0043290D" w:rsidRPr="0043290D">
        <w:t xml:space="preserve"> excluded</w:t>
      </w:r>
      <w:r w:rsidR="0043290D">
        <w:t>—</w:t>
      </w:r>
      <w:r w:rsidR="003262EF">
        <w:t>some</w:t>
      </w:r>
      <w:r w:rsidR="0043290D">
        <w:t xml:space="preserve"> </w:t>
      </w:r>
      <w:r w:rsidR="0043290D" w:rsidRPr="0043290D">
        <w:t xml:space="preserve">of whom </w:t>
      </w:r>
      <w:r w:rsidR="0033403E">
        <w:t xml:space="preserve">may be among the poor, but </w:t>
      </w:r>
      <w:r w:rsidR="0043290D">
        <w:t>“missed” by targeting schemes—</w:t>
      </w:r>
      <w:r w:rsidR="0033403E">
        <w:t>and the beneficiaries</w:t>
      </w:r>
      <w:r w:rsidR="0043290D" w:rsidRPr="0043290D">
        <w:t>.</w:t>
      </w:r>
      <w:r w:rsidR="0043290D">
        <w:t xml:space="preserve"> </w:t>
      </w:r>
      <w:r w:rsidR="003262EF" w:rsidRPr="003262EF">
        <w:t xml:space="preserve">Others have pointed out the </w:t>
      </w:r>
      <w:r w:rsidR="00DD5997">
        <w:t>tendency</w:t>
      </w:r>
      <w:r w:rsidR="003262EF" w:rsidRPr="003262EF">
        <w:t xml:space="preserve"> of politicians to convert targeted programs into </w:t>
      </w:r>
      <w:hyperlink r:id="rId9" w:history="1">
        <w:r w:rsidR="003262EF" w:rsidRPr="00E0271B">
          <w:rPr>
            <w:rStyle w:val="Hyperlink"/>
          </w:rPr>
          <w:t>instruments of patronage</w:t>
        </w:r>
      </w:hyperlink>
      <w:r w:rsidR="003262EF">
        <w:t xml:space="preserve"> and thereby abuse them.</w:t>
      </w:r>
      <w:r w:rsidR="00D55AEE">
        <w:t xml:space="preserve"> These are just some of the reasons that the </w:t>
      </w:r>
      <w:hyperlink r:id="rId10" w:history="1">
        <w:r w:rsidR="00D55AEE" w:rsidRPr="00F02820">
          <w:rPr>
            <w:rStyle w:val="Hyperlink"/>
          </w:rPr>
          <w:t>Indian Ministry of Finance</w:t>
        </w:r>
      </w:hyperlink>
      <w:r w:rsidR="00D55AEE" w:rsidRPr="00D55AEE">
        <w:t xml:space="preserve"> is </w:t>
      </w:r>
      <w:r w:rsidR="00D55AEE">
        <w:t>considering</w:t>
      </w:r>
      <w:r w:rsidR="00D55AEE" w:rsidRPr="00D55AEE">
        <w:t xml:space="preserve"> the idea of a </w:t>
      </w:r>
      <w:hyperlink r:id="rId11" w:history="1">
        <w:r w:rsidR="00D55AEE" w:rsidRPr="001A078B">
          <w:rPr>
            <w:rStyle w:val="Hyperlink"/>
          </w:rPr>
          <w:t>universal basic income</w:t>
        </w:r>
      </w:hyperlink>
      <w:r w:rsidR="00D55AEE" w:rsidRPr="00D55AEE">
        <w:t xml:space="preserve"> </w:t>
      </w:r>
      <w:r w:rsidR="00D55AEE">
        <w:t xml:space="preserve">scheme which, if implemented, would </w:t>
      </w:r>
      <w:hyperlink r:id="rId12" w:history="1">
        <w:r w:rsidR="00D55AEE" w:rsidRPr="0033403E">
          <w:rPr>
            <w:rStyle w:val="Hyperlink"/>
          </w:rPr>
          <w:t>transform the system of social protection</w:t>
        </w:r>
      </w:hyperlink>
      <w:r w:rsidR="00D55AEE" w:rsidRPr="00D55AEE">
        <w:t xml:space="preserve"> in a country </w:t>
      </w:r>
      <w:r w:rsidR="00D55AEE">
        <w:t xml:space="preserve">that is home </w:t>
      </w:r>
      <w:r w:rsidR="00D55AEE" w:rsidRPr="00D55AEE">
        <w:t>over a third of the global poor.</w:t>
      </w:r>
    </w:p>
    <w:p w:rsidR="0043290D" w:rsidRDefault="0043290D" w:rsidP="0031576B">
      <w:pPr>
        <w:spacing w:after="240" w:line="240" w:lineRule="auto"/>
      </w:pPr>
      <w:r>
        <w:t>In today’s advanced, industrialized nations, the creation of social protection did not typically involve an emphasis on targeting until well into the 20</w:t>
      </w:r>
      <w:r w:rsidRPr="0043290D">
        <w:rPr>
          <w:vertAlign w:val="superscript"/>
        </w:rPr>
        <w:t>th</w:t>
      </w:r>
      <w:r>
        <w:t xml:space="preserve"> century. In fact, modern welfare states were typically constructed with strong cross-class solidarity between urban, industrial workers and the emerging middle class. </w:t>
      </w:r>
      <w:r w:rsidRPr="00116FD1">
        <w:t xml:space="preserve">Because the middle-class valued stability, its interests coincided with those of the working class; social protection was used to </w:t>
      </w:r>
      <w:r w:rsidR="00A54195">
        <w:t>pacify</w:t>
      </w:r>
      <w:r w:rsidRPr="00116FD1">
        <w:t xml:space="preserve"> the industrial workforce and </w:t>
      </w:r>
      <w:r w:rsidR="00A54195">
        <w:t>more radical</w:t>
      </w:r>
      <w:r w:rsidRPr="00116FD1">
        <w:t xml:space="preserve"> political movements</w:t>
      </w:r>
      <w:r w:rsidR="00A54195">
        <w:t xml:space="preserve"> such as </w:t>
      </w:r>
      <w:r w:rsidRPr="00116FD1">
        <w:t xml:space="preserve">socialist parties and revolutionary communes.  Between 1883 and 1889, largely with the support of </w:t>
      </w:r>
      <w:r w:rsidR="00A54195">
        <w:t>“</w:t>
      </w:r>
      <w:r w:rsidRPr="00116FD1">
        <w:t>bourgeois</w:t>
      </w:r>
      <w:r w:rsidR="00A54195">
        <w:t>” political parties opposing the</w:t>
      </w:r>
      <w:r w:rsidRPr="00116FD1">
        <w:t xml:space="preserve"> social-democratic threat, Bismarck’s government </w:t>
      </w:r>
      <w:r w:rsidR="00A54195" w:rsidRPr="00116FD1">
        <w:t>enacted</w:t>
      </w:r>
      <w:r w:rsidRPr="00116FD1">
        <w:t xml:space="preserve"> healthcare (1883), accident insurance </w:t>
      </w:r>
      <w:r w:rsidR="00D55AEE">
        <w:t xml:space="preserve">(1884), unemployment, and old </w:t>
      </w:r>
      <w:r w:rsidRPr="00116FD1">
        <w:t>age pensions (1889)</w:t>
      </w:r>
      <w:r w:rsidR="00A54195">
        <w:t xml:space="preserve"> programs</w:t>
      </w:r>
      <w:r w:rsidRPr="00116FD1">
        <w:t xml:space="preserve">. Similarly, France established free medical assistance and assistance programs for the elderly in the 1890s.  Facing trade union mobilization and electoral threats from the newly formed </w:t>
      </w:r>
      <w:proofErr w:type="spellStart"/>
      <w:r w:rsidRPr="00116FD1">
        <w:t>Labour</w:t>
      </w:r>
      <w:proofErr w:type="spellEnd"/>
      <w:r w:rsidRPr="00116FD1">
        <w:t xml:space="preserve"> Party, the governing Liberals in Britain </w:t>
      </w:r>
      <w:r w:rsidR="00A54195">
        <w:t>created</w:t>
      </w:r>
      <w:r w:rsidRPr="00116FD1">
        <w:t xml:space="preserve"> worker pensions, unemployment, and health insurance between 1906</w:t>
      </w:r>
      <w:r w:rsidR="00A54195">
        <w:t xml:space="preserve"> and 1911. These were all </w:t>
      </w:r>
      <w:r w:rsidR="00A54195" w:rsidRPr="00A54195">
        <w:rPr>
          <w:i/>
        </w:rPr>
        <w:t>de jure</w:t>
      </w:r>
      <w:r w:rsidR="00A54195">
        <w:t xml:space="preserve"> universal programs.</w:t>
      </w:r>
    </w:p>
    <w:p w:rsidR="0043290D" w:rsidRDefault="0043290D" w:rsidP="0031576B">
      <w:pPr>
        <w:spacing w:after="240" w:line="240" w:lineRule="auto"/>
      </w:pPr>
      <w:r>
        <w:t xml:space="preserve">Should today’s developing nations adopt </w:t>
      </w:r>
      <w:r w:rsidR="00D55AEE">
        <w:t>this</w:t>
      </w:r>
      <w:r>
        <w:t xml:space="preserve"> approach</w:t>
      </w:r>
      <w:r w:rsidR="008D3D2E">
        <w:t xml:space="preserve">? Because their informal sector is larger, and because the presence of organized labor is weaker compared to richer countries, most developing nations </w:t>
      </w:r>
      <w:r w:rsidR="00D55AEE">
        <w:t>are</w:t>
      </w:r>
      <w:r w:rsidR="008D3D2E">
        <w:t xml:space="preserve"> concerned about the ability of universal systems to cover a sufficient portion of the workforce. A review of the World Bank’s </w:t>
      </w:r>
      <w:hyperlink r:id="rId13" w:history="1">
        <w:r w:rsidR="008D3D2E" w:rsidRPr="00A54195">
          <w:rPr>
            <w:rStyle w:val="Hyperlink"/>
            <w:i/>
          </w:rPr>
          <w:t>Atlas of Social Protection Indicators of Resilience and Equity</w:t>
        </w:r>
      </w:hyperlink>
      <w:r w:rsidR="008D3D2E">
        <w:t xml:space="preserve"> (ASPIRE) data </w:t>
      </w:r>
      <w:r w:rsidR="00A54195">
        <w:t xml:space="preserve">reveals </w:t>
      </w:r>
      <w:r w:rsidR="008D3D2E">
        <w:t xml:space="preserve">the difficulty in building social protection systems with truly universal scope. The figures below </w:t>
      </w:r>
      <w:r w:rsidR="00A54195">
        <w:t>shows</w:t>
      </w:r>
      <w:r w:rsidR="008D3D2E">
        <w:t xml:space="preserve"> the benefits and the coverage of two major components of social protection:  social assistance—</w:t>
      </w:r>
      <w:r w:rsidR="008D3D2E" w:rsidRPr="008D3D2E">
        <w:t xml:space="preserve">cash transfers, in-kind provisions, subsidies, fee waivers, (non-contributory) pensions, </w:t>
      </w:r>
      <w:r w:rsidR="008D3D2E">
        <w:t xml:space="preserve">and public works programs—and social insurance, or </w:t>
      </w:r>
      <w:r w:rsidR="008D3D2E" w:rsidRPr="008D3D2E">
        <w:t xml:space="preserve">old age, survivors’, and disability pensions, along with </w:t>
      </w:r>
      <w:r w:rsidR="008D3D2E" w:rsidRPr="008D3D2E">
        <w:lastRenderedPageBreak/>
        <w:t>employment-related benefits</w:t>
      </w:r>
      <w:r w:rsidR="008D3D2E">
        <w:t xml:space="preserve">. Social assistance consists of programs usually targeted to the poor that are non-contributory and are financed from general revenues, while social insurance are contributory, employment-related benefits. The graphs show </w:t>
      </w:r>
      <w:r w:rsidR="00D55AEE">
        <w:t xml:space="preserve">average </w:t>
      </w:r>
      <w:r w:rsidR="007D45EF">
        <w:t xml:space="preserve">daily </w:t>
      </w:r>
      <w:r w:rsidR="008D3D2E">
        <w:t xml:space="preserve">benefits (in PPP-adjusted dollars per capita) and coverage rates (as a percent of the eligible population) by income quintile. </w:t>
      </w:r>
      <w:r w:rsidR="00D55AEE">
        <w:t>W</w:t>
      </w:r>
      <w:r w:rsidR="003262EF">
        <w:t xml:space="preserve">hile </w:t>
      </w:r>
      <w:r w:rsidR="00D55AEE">
        <w:t xml:space="preserve">coverage rates for </w:t>
      </w:r>
      <w:r w:rsidR="003262EF">
        <w:t xml:space="preserve">social assistance are far more progressive than </w:t>
      </w:r>
      <w:r w:rsidR="00D55AEE">
        <w:t xml:space="preserve">for </w:t>
      </w:r>
      <w:r w:rsidR="003262EF">
        <w:t xml:space="preserve">social insurance, the benefits they provide are relatively paltry.  </w:t>
      </w:r>
      <w:r w:rsidR="00143348">
        <w:t>Social insurance, on the other hand, provides greater benefits but remains regressive.</w:t>
      </w:r>
    </w:p>
    <w:p w:rsidR="001A7190" w:rsidRDefault="001A7190" w:rsidP="0031576B">
      <w:pPr>
        <w:spacing w:after="240" w:line="240" w:lineRule="auto"/>
      </w:pPr>
      <w:r>
        <w:t xml:space="preserve">The graphs also show the quandary that social program designers face. Most of the </w:t>
      </w:r>
      <w:hyperlink r:id="rId14" w:history="1">
        <w:r w:rsidRPr="007D45EF">
          <w:rPr>
            <w:rStyle w:val="Hyperlink"/>
          </w:rPr>
          <w:t>“global” middle class</w:t>
        </w:r>
      </w:hyperlink>
      <w:r w:rsidR="00A54195">
        <w:t xml:space="preserve"> members, </w:t>
      </w:r>
      <w:r>
        <w:t xml:space="preserve">in these countries, </w:t>
      </w:r>
      <w:r w:rsidR="00A54195">
        <w:t>are</w:t>
      </w:r>
      <w:r>
        <w:t xml:space="preserve"> in the upper quintiles. Increasing social assistance—something that would benefit the poor more directly—can lead to middle class discontent.  </w:t>
      </w:r>
      <w:r w:rsidRPr="003262EF">
        <w:t xml:space="preserve">In many low- and middle-income countries, the growing </w:t>
      </w:r>
      <w:hyperlink r:id="rId15" w:history="1">
        <w:r w:rsidRPr="007D45EF">
          <w:rPr>
            <w:rStyle w:val="Hyperlink"/>
          </w:rPr>
          <w:t>middle class has little stake in the system</w:t>
        </w:r>
      </w:hyperlink>
      <w:r w:rsidRPr="003262EF">
        <w:t xml:space="preserve"> of social assistance from which they are excluded. In these countries, the middle classes send their children to private schools, use private healthcare, dig their own </w:t>
      </w:r>
      <w:r>
        <w:t>wells</w:t>
      </w:r>
      <w:r w:rsidRPr="003262EF">
        <w:t>, and buy their own generators. That degree of middle-class exit means there are few demands to improve th</w:t>
      </w:r>
      <w:r>
        <w:t>e public provision of services. On the other hand, should program designers m</w:t>
      </w:r>
      <w:r w:rsidR="00A5701A">
        <w:t xml:space="preserve">ove towards a universal system, </w:t>
      </w:r>
      <w:r>
        <w:t xml:space="preserve">the richer quintiles </w:t>
      </w:r>
      <w:r w:rsidR="00A5701A">
        <w:t>would</w:t>
      </w:r>
      <w:r>
        <w:t xml:space="preserve"> inevitably capture a disproportionate share of </w:t>
      </w:r>
      <w:proofErr w:type="gramStart"/>
      <w:r>
        <w:t>benefits.</w:t>
      </w:r>
      <w:proofErr w:type="gramEnd"/>
    </w:p>
    <w:p w:rsidR="00A5701A" w:rsidRDefault="00A5701A" w:rsidP="0031576B">
      <w:pPr>
        <w:spacing w:after="240" w:line="240" w:lineRule="auto"/>
      </w:pPr>
      <w:r>
        <w:t xml:space="preserve">For </w:t>
      </w:r>
      <w:r w:rsidR="007D45EF">
        <w:t>low- and middle-income</w:t>
      </w:r>
      <w:r>
        <w:t xml:space="preserve"> economies, the answer to this dilemma lies in </w:t>
      </w:r>
      <w:r w:rsidR="00A54195">
        <w:t>relying on</w:t>
      </w:r>
      <w:r>
        <w:t xml:space="preserve"> a mix of universal and targeted programs while, at the same time, utilizing innovations that improve social program efficiency in general.</w:t>
      </w:r>
    </w:p>
    <w:p w:rsidR="00D55AEE" w:rsidRDefault="00A5701A" w:rsidP="0031576B">
      <w:pPr>
        <w:spacing w:after="240" w:line="240" w:lineRule="auto"/>
      </w:pPr>
      <w:r>
        <w:t xml:space="preserve">In </w:t>
      </w:r>
      <w:r w:rsidR="007D45EF">
        <w:t xml:space="preserve">practice, </w:t>
      </w:r>
      <w:r>
        <w:t>this would mean</w:t>
      </w:r>
      <w:r w:rsidRPr="003262EF">
        <w:t xml:space="preserve">, for example, changing eligibility rules </w:t>
      </w:r>
      <w:r>
        <w:t xml:space="preserve">for social insurance </w:t>
      </w:r>
      <w:r w:rsidRPr="003262EF">
        <w:t>in order to cover a larger proportion of those in the lower quintiles and includes the self-employed and those in the informal sector,</w:t>
      </w:r>
      <w:r>
        <w:t xml:space="preserve"> in order to </w:t>
      </w:r>
      <w:r w:rsidR="007D45EF">
        <w:t xml:space="preserve">provide </w:t>
      </w:r>
      <w:r w:rsidRPr="003262EF">
        <w:t>greater gains for the poorest</w:t>
      </w:r>
      <w:r w:rsidR="007D45EF">
        <w:t xml:space="preserve"> through programs that are supported by the middle class</w:t>
      </w:r>
      <w:r w:rsidRPr="003262EF">
        <w:t>.</w:t>
      </w:r>
      <w:r>
        <w:t xml:space="preserve"> It </w:t>
      </w:r>
      <w:r w:rsidR="007D45EF">
        <w:t>would</w:t>
      </w:r>
      <w:r>
        <w:t xml:space="preserve"> also mean expanding resources available to the poor through social assistance programs </w:t>
      </w:r>
      <w:r w:rsidR="007D45EF">
        <w:t xml:space="preserve">that </w:t>
      </w:r>
      <w:r>
        <w:t>convinc</w:t>
      </w:r>
      <w:r w:rsidR="007D45EF">
        <w:t>e</w:t>
      </w:r>
      <w:r>
        <w:t xml:space="preserve"> the non-poor of the value of these programs</w:t>
      </w:r>
      <w:r w:rsidR="007D45EF">
        <w:t>.</w:t>
      </w:r>
      <w:r>
        <w:t xml:space="preserve"> </w:t>
      </w:r>
      <w:r w:rsidR="007D45EF">
        <w:t>The political benefit of c</w:t>
      </w:r>
      <w:r w:rsidR="00D55AEE">
        <w:t>onditional cash transfers</w:t>
      </w:r>
      <w:r w:rsidR="001A7190">
        <w:t xml:space="preserve"> in Latin America</w:t>
      </w:r>
      <w:r>
        <w:t xml:space="preserve"> and elsewhere</w:t>
      </w:r>
      <w:r w:rsidR="00711C07">
        <w:t xml:space="preserve">—requiring beneficiaries to comply with certain requirements in order to be eligible to receive funds—was to </w:t>
      </w:r>
      <w:r w:rsidR="00711C07" w:rsidRPr="003262EF">
        <w:t>counteract the belief that poor households will misuse income transfers</w:t>
      </w:r>
      <w:r w:rsidR="00D55AEE">
        <w:t>.</w:t>
      </w:r>
    </w:p>
    <w:p w:rsidR="00480C09" w:rsidRDefault="001A7190" w:rsidP="0031576B">
      <w:pPr>
        <w:spacing w:after="240" w:line="240" w:lineRule="auto"/>
      </w:pPr>
      <w:r>
        <w:t xml:space="preserve">Other technical </w:t>
      </w:r>
      <w:r w:rsidR="00D55AEE" w:rsidRPr="003262EF">
        <w:t>solutions</w:t>
      </w:r>
      <w:r w:rsidR="00711C07">
        <w:t>, such</w:t>
      </w:r>
      <w:r>
        <w:t xml:space="preserve"> ID systems that enable </w:t>
      </w:r>
      <w:r w:rsidR="00D55AEE" w:rsidRPr="003262EF">
        <w:t>registr</w:t>
      </w:r>
      <w:r>
        <w:t>ies</w:t>
      </w:r>
      <w:r w:rsidR="00D55AEE" w:rsidRPr="003262EF">
        <w:t xml:space="preserve"> of potential beneficiaries </w:t>
      </w:r>
      <w:r>
        <w:t xml:space="preserve">to be updated, and that are potentially linked to </w:t>
      </w:r>
      <w:r w:rsidR="00D55AEE" w:rsidRPr="003262EF">
        <w:t>other databases (</w:t>
      </w:r>
      <w:r>
        <w:t xml:space="preserve">including the census, </w:t>
      </w:r>
      <w:r w:rsidR="00D55AEE" w:rsidRPr="003262EF">
        <w:t xml:space="preserve">geospatial data, </w:t>
      </w:r>
      <w:r>
        <w:t>and l</w:t>
      </w:r>
      <w:r w:rsidR="00D55AEE" w:rsidRPr="003262EF">
        <w:t xml:space="preserve">and </w:t>
      </w:r>
      <w:r>
        <w:t>and housing cadasters)</w:t>
      </w:r>
      <w:r w:rsidR="00A5701A">
        <w:t xml:space="preserve">, as well as mobile money </w:t>
      </w:r>
      <w:r w:rsidR="00A5701A" w:rsidRPr="003262EF">
        <w:t>technologies</w:t>
      </w:r>
      <w:r w:rsidR="00A5701A">
        <w:t xml:space="preserve"> that lower </w:t>
      </w:r>
      <w:r w:rsidR="00A5701A" w:rsidRPr="003262EF">
        <w:t>administrative costs</w:t>
      </w:r>
      <w:r w:rsidR="00711C07">
        <w:t>,</w:t>
      </w:r>
      <w:r w:rsidR="00A5701A" w:rsidRPr="003262EF">
        <w:t xml:space="preserve"> </w:t>
      </w:r>
      <w:r>
        <w:t xml:space="preserve">would make delivery of targeted and </w:t>
      </w:r>
      <w:r w:rsidR="00D55AEE" w:rsidRPr="003262EF">
        <w:t xml:space="preserve">universal </w:t>
      </w:r>
      <w:r>
        <w:t>programs alike more efficient.</w:t>
      </w:r>
    </w:p>
    <w:p w:rsidR="007D45EF" w:rsidRDefault="007D45EF" w:rsidP="0031576B">
      <w:pPr>
        <w:spacing w:after="0" w:line="240" w:lineRule="auto"/>
      </w:pPr>
      <w:r>
        <w:br w:type="page"/>
      </w:r>
    </w:p>
    <w:p w:rsidR="007D45EF" w:rsidRPr="00973F2A" w:rsidRDefault="007D45EF" w:rsidP="0031576B">
      <w:pPr>
        <w:pStyle w:val="Caption"/>
      </w:pPr>
      <w:r w:rsidRPr="00973F2A">
        <w:lastRenderedPageBreak/>
        <w:t xml:space="preserve">Distribution of </w:t>
      </w:r>
      <w:r w:rsidR="00E0271B">
        <w:t>Social Benefits and Coverage</w:t>
      </w:r>
    </w:p>
    <w:p w:rsidR="007D45EF" w:rsidRPr="00973F2A" w:rsidRDefault="007D45EF" w:rsidP="0031576B">
      <w:pPr>
        <w:spacing w:after="0" w:line="240" w:lineRule="auto"/>
        <w:rPr>
          <w:rFonts w:ascii="Times New Roman" w:hAnsi="Times New Roman" w:cs="Times New Roman"/>
          <w:sz w:val="20"/>
          <w:szCs w:val="20"/>
        </w:rPr>
      </w:pPr>
      <w:r w:rsidRPr="00973F2A">
        <w:rPr>
          <w:rFonts w:ascii="Times New Roman" w:hAnsi="Times New Roman" w:cs="Times New Roman"/>
          <w:noProof/>
        </w:rPr>
        <w:drawing>
          <wp:inline distT="0" distB="0" distL="0" distR="0" wp14:anchorId="6340637B" wp14:editId="38356417">
            <wp:extent cx="5119370" cy="3209925"/>
            <wp:effectExtent l="0" t="0" r="508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3833"/>
                    <a:stretch/>
                  </pic:blipFill>
                  <pic:spPr bwMode="auto">
                    <a:xfrm>
                      <a:off x="0" y="0"/>
                      <a:ext cx="5120640" cy="3210721"/>
                    </a:xfrm>
                    <a:prstGeom prst="rect">
                      <a:avLst/>
                    </a:prstGeom>
                    <a:ln>
                      <a:noFill/>
                    </a:ln>
                    <a:extLst>
                      <a:ext uri="{53640926-AAD7-44d8-BBD7-CCE9431645EC}">
                        <a14:shadowObscured xmlns:cx="http://schemas.microsoft.com/office/drawing/2014/chartex" xmlns:cx1="http://schemas.microsoft.com/office/drawing/2015/9/8/chartex" xmlns:w16se="http://schemas.microsoft.com/office/word/2015/wordml/symex"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rsidR="007D45EF" w:rsidRPr="00973F2A" w:rsidRDefault="007D45EF" w:rsidP="0031576B">
      <w:pPr>
        <w:pStyle w:val="Caption"/>
      </w:pPr>
      <w:r w:rsidRPr="00973F2A">
        <w:rPr>
          <w:noProof/>
        </w:rPr>
        <w:drawing>
          <wp:inline distT="0" distB="0" distL="0" distR="0" wp14:anchorId="734D8A3D" wp14:editId="00BD35BC">
            <wp:extent cx="5120640" cy="3727241"/>
            <wp:effectExtent l="0" t="0" r="3810" b="698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0640" cy="3727241"/>
                    </a:xfrm>
                    <a:prstGeom prst="rect">
                      <a:avLst/>
                    </a:prstGeom>
                  </pic:spPr>
                </pic:pic>
              </a:graphicData>
            </a:graphic>
          </wp:inline>
        </w:drawing>
      </w:r>
    </w:p>
    <w:p w:rsidR="007D45EF" w:rsidRDefault="007D45EF" w:rsidP="0031576B">
      <w:pPr>
        <w:spacing w:after="0" w:line="240" w:lineRule="auto"/>
        <w:rPr>
          <w:rFonts w:ascii="Times New Roman" w:hAnsi="Times New Roman" w:cs="Times New Roman"/>
          <w:sz w:val="20"/>
          <w:szCs w:val="20"/>
        </w:rPr>
      </w:pPr>
      <w:bookmarkStart w:id="0" w:name="_GoBack"/>
      <w:bookmarkEnd w:id="0"/>
      <w:r>
        <w:rPr>
          <w:rFonts w:ascii="Times New Roman" w:hAnsi="Times New Roman" w:cs="Times New Roman"/>
          <w:sz w:val="20"/>
          <w:szCs w:val="20"/>
        </w:rPr>
        <w:t>Notes:  Graphs show (unweighted) averages with 95% confidence intervals by income quintile (Q1 = poorest, Q5 = richest).</w:t>
      </w:r>
    </w:p>
    <w:p w:rsidR="007D45EF" w:rsidRPr="007D45EF" w:rsidRDefault="007D45EF" w:rsidP="0031576B">
      <w:pPr>
        <w:spacing w:after="0" w:line="240" w:lineRule="auto"/>
        <w:rPr>
          <w:rFonts w:ascii="Times New Roman" w:hAnsi="Times New Roman" w:cs="Times New Roman"/>
          <w:sz w:val="20"/>
          <w:szCs w:val="20"/>
        </w:rPr>
      </w:pPr>
      <w:r>
        <w:rPr>
          <w:rFonts w:ascii="Times New Roman" w:hAnsi="Times New Roman" w:cs="Times New Roman"/>
          <w:sz w:val="20"/>
          <w:szCs w:val="20"/>
        </w:rPr>
        <w:t>Source:  World Bank, ASPIRE database.</w:t>
      </w:r>
    </w:p>
    <w:sectPr w:rsidR="007D45EF" w:rsidRPr="007D4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FD1"/>
    <w:rsid w:val="000D5C31"/>
    <w:rsid w:val="000D5E70"/>
    <w:rsid w:val="00116FD1"/>
    <w:rsid w:val="00143348"/>
    <w:rsid w:val="001A078B"/>
    <w:rsid w:val="001A7190"/>
    <w:rsid w:val="002B29D7"/>
    <w:rsid w:val="0031576B"/>
    <w:rsid w:val="003262EF"/>
    <w:rsid w:val="0033403E"/>
    <w:rsid w:val="003C682B"/>
    <w:rsid w:val="0043290D"/>
    <w:rsid w:val="00480C09"/>
    <w:rsid w:val="00711C07"/>
    <w:rsid w:val="007D45EF"/>
    <w:rsid w:val="008D3D2E"/>
    <w:rsid w:val="009A50CF"/>
    <w:rsid w:val="00A54195"/>
    <w:rsid w:val="00A5701A"/>
    <w:rsid w:val="00AF1229"/>
    <w:rsid w:val="00C05205"/>
    <w:rsid w:val="00D55AEE"/>
    <w:rsid w:val="00DD5997"/>
    <w:rsid w:val="00E0271B"/>
    <w:rsid w:val="00F02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5D9093-F336-4095-A68B-B688AA44F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efault">
    <w:name w:val="Default"/>
    <w:basedOn w:val="TableNormal"/>
    <w:uiPriority w:val="99"/>
    <w:rsid w:val="002B29D7"/>
    <w:pPr>
      <w:spacing w:after="0" w:line="240" w:lineRule="auto"/>
    </w:pPr>
    <w:rPr>
      <w:rFonts w:ascii="Times New Roman" w:hAnsi="Times New Roman"/>
      <w:sz w:val="20"/>
    </w:rPr>
    <w:tblPr>
      <w:tblBorders>
        <w:top w:val="single" w:sz="12" w:space="0" w:color="auto"/>
        <w:bottom w:val="single" w:sz="12" w:space="0" w:color="auto"/>
      </w:tblBorders>
      <w:tblCellMar>
        <w:left w:w="115" w:type="dxa"/>
        <w:right w:w="115" w:type="dxa"/>
      </w:tblCellMar>
    </w:tblPr>
    <w:tblStylePr w:type="firstRow">
      <w:rPr>
        <w:rFonts w:ascii="Times New Roman" w:hAnsi="Times New Roman"/>
        <w:b/>
        <w:color w:val="auto"/>
        <w:sz w:val="20"/>
      </w:rPr>
      <w:tblPr/>
      <w:tcPr>
        <w:tcBorders>
          <w:top w:val="single" w:sz="12" w:space="0" w:color="auto"/>
          <w:bottom w:val="single" w:sz="6" w:space="0" w:color="auto"/>
        </w:tcBorders>
      </w:tcPr>
    </w:tblStylePr>
  </w:style>
  <w:style w:type="table" w:styleId="TableGrid">
    <w:name w:val="Table Grid"/>
    <w:aliases w:val="Table Default"/>
    <w:basedOn w:val="TableNormal"/>
    <w:uiPriority w:val="39"/>
    <w:rsid w:val="003C682B"/>
    <w:pPr>
      <w:spacing w:after="0" w:line="240" w:lineRule="auto"/>
    </w:p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Hyperlink">
    <w:name w:val="Hyperlink"/>
    <w:basedOn w:val="DefaultParagraphFont"/>
    <w:uiPriority w:val="99"/>
    <w:unhideWhenUsed/>
    <w:rsid w:val="00AF1229"/>
    <w:rPr>
      <w:color w:val="0563C1" w:themeColor="hyperlink"/>
      <w:u w:val="single"/>
    </w:rPr>
  </w:style>
  <w:style w:type="paragraph" w:styleId="Caption">
    <w:name w:val="caption"/>
    <w:basedOn w:val="Normal"/>
    <w:next w:val="Normal"/>
    <w:uiPriority w:val="35"/>
    <w:unhideWhenUsed/>
    <w:qFormat/>
    <w:rsid w:val="007D45EF"/>
    <w:pPr>
      <w:spacing w:after="0" w:line="240" w:lineRule="auto"/>
    </w:pPr>
    <w:rPr>
      <w:rFonts w:ascii="Times New Roman" w:eastAsiaTheme="minorEastAsia" w:hAnsi="Times New Roman" w:cs="Times New Roman"/>
      <w:b/>
      <w:iCs/>
      <w:sz w:val="20"/>
      <w:szCs w:val="20"/>
    </w:rPr>
  </w:style>
  <w:style w:type="character" w:styleId="FollowedHyperlink">
    <w:name w:val="FollowedHyperlink"/>
    <w:basedOn w:val="DefaultParagraphFont"/>
    <w:uiPriority w:val="99"/>
    <w:semiHidden/>
    <w:unhideWhenUsed/>
    <w:rsid w:val="000D5C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core/journals/social-policy-and-society/article/governance-and-politics-of-global-social-policy/8FB6E9CF48A22F49D79F24E4C5389113" TargetMode="External"/><Relationship Id="rId13" Type="http://schemas.openxmlformats.org/officeDocument/2006/relationships/hyperlink" Target="http://datatopics.worldbank.org/aspire/"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ideas4development.org/en/social-protection-universal-provision-is-more-effective-than-poverty-targeting/" TargetMode="External"/><Relationship Id="rId12" Type="http://schemas.openxmlformats.org/officeDocument/2006/relationships/hyperlink" Target="https://www.foreignaffairs.com/articles/india/2017-04-06/why-india-ready-universal-basic-income" TargetMode="External"/><Relationship Id="rId1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png"/><Relationship Id="rId1" Type="http://schemas.openxmlformats.org/officeDocument/2006/relationships/styles" Target="styles.xml"/><Relationship Id="rId6" Type="http://schemas.openxmlformats.org/officeDocument/2006/relationships/hyperlink" Target="http://www.thepolisblog.org/2012/05/why-universalism-trumps-targeting-in.html" TargetMode="External"/><Relationship Id="rId11" Type="http://schemas.openxmlformats.org/officeDocument/2006/relationships/hyperlink" Target="http://voxeu.org/article/arguments-against-basic-income-are-straw-men" TargetMode="External"/><Relationship Id="rId5" Type="http://schemas.openxmlformats.org/officeDocument/2006/relationships/hyperlink" Target="http://ideas4development.org/en/social-protection-universal-poverty-targeting-approaches-are-not-in-contradiction/" TargetMode="External"/><Relationship Id="rId15" Type="http://schemas.openxmlformats.org/officeDocument/2006/relationships/hyperlink" Target="http://www.business-standard.com/article/opinion/the-economic-consequences-of-professor-amartya-sen-113070901024_1.html" TargetMode="External"/><Relationship Id="rId10" Type="http://schemas.openxmlformats.org/officeDocument/2006/relationships/hyperlink" Target="https://www.google.se/url?sa=t&amp;rct=j&amp;q=&amp;esrc=s&amp;source=web&amp;cd=9&amp;ved=0ahUKEwjC0fLhnprUAhWCFCwKHe2nAVwQFghaMAg&amp;url=http%3A%2F%2Findiabudget.nic.in%2Fes2016-17%2Fechap09.pdf&amp;usg=AFQjCNE-Cc1ILE4r66txDKXvQTIOSBw79A&amp;sig2=q-EefgLV1gl8cpS1hL1tvw&amp;cad=rjt" TargetMode="External"/><Relationship Id="rId19" Type="http://schemas.openxmlformats.org/officeDocument/2006/relationships/theme" Target="theme/theme1.xml"/><Relationship Id="rId4" Type="http://schemas.openxmlformats.org/officeDocument/2006/relationships/hyperlink" Target="http://ilo.org/global/research/global-reports/world-social-security-report/2014/lang--en/index.htm" TargetMode="External"/><Relationship Id="rId9" Type="http://schemas.openxmlformats.org/officeDocument/2006/relationships/hyperlink" Target="https://www.brookings.edu/research/the-political-economy-of-poverty-reduction/" TargetMode="External"/><Relationship Id="rId14" Type="http://schemas.openxmlformats.org/officeDocument/2006/relationships/hyperlink" Target="https://www.brookings.edu/research/the-unprecedented-expansion-of-the-global-middle-clas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3</Pages>
  <Words>1300</Words>
  <Characters>7412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RMD</dc:creator>
  <cp:keywords/>
  <dc:description/>
  <cp:lastModifiedBy>RMD</cp:lastModifiedBy>
  <cp:revision>9</cp:revision>
  <dcterms:created xsi:type="dcterms:W3CDTF">2017-05-31T10:06:00Z</dcterms:created>
  <dcterms:modified xsi:type="dcterms:W3CDTF">2017-05-31T13:40:00Z</dcterms:modified>
</cp:coreProperties>
</file>