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504" w:val="left"/>
        </w:tabs>
        <w:ind w:left="504" w:hanging="504"/>
      </w:pPr>
      <w:r>
        <w:t>1.</w:t>
        <w:tab/>
      </w:r>
      <w:r>
        <w:rPr>
          <w:b/>
        </w:rPr>
        <w:t xml:space="preserve">Skema Partisi ID Kunci (Key Partitioning / Odd-Even): </w:t>
      </w:r>
      <w:r>
        <w:t>Seperti pada modul praktikum, Node A hanya menulis ID ganjil (101, 103, ...) dan Node B menulis ID genap (102, 104, ...), atau menggunakan alokasi blok range terpisah (Node A: 1–1.000.000, Node B: 1.000.001–2.000.000).</w:t>
      </w:r>
    </w:p>
    <w:sectPr w:rsidR="00FC693F" w:rsidRPr="0006063C" w:rsidSect="00034616">
      <w:pgSz w:w="15840" w:h="122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