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42183" w14:textId="33AA516B" w:rsidR="00C6554A" w:rsidRDefault="00787D99" w:rsidP="00C6554A">
      <w:pPr>
        <w:pStyle w:val="Foto"/>
        <w:rPr>
          <w:noProof/>
        </w:rPr>
      </w:pPr>
      <w:r>
        <w:rPr>
          <w:noProof/>
        </w:rPr>
        <w:drawing>
          <wp:anchor distT="0" distB="0" distL="114300" distR="114300" simplePos="0" relativeHeight="251658240" behindDoc="1" locked="0" layoutInCell="1" allowOverlap="1" wp14:anchorId="39C8D61A" wp14:editId="24E2416C">
            <wp:simplePos x="0" y="0"/>
            <wp:positionH relativeFrom="column">
              <wp:posOffset>128905</wp:posOffset>
            </wp:positionH>
            <wp:positionV relativeFrom="paragraph">
              <wp:posOffset>-245836</wp:posOffset>
            </wp:positionV>
            <wp:extent cx="2628772" cy="881743"/>
            <wp:effectExtent l="0" t="0" r="635" b="0"/>
            <wp:wrapNone/>
            <wp:docPr id="1161870536" name="Imagen 3" descr="Logos - Imagen U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s - Imagen UD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8772" cy="8817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655190" w14:textId="4641A070" w:rsidR="00CD646E" w:rsidRDefault="00CD646E" w:rsidP="00C6554A">
      <w:pPr>
        <w:pStyle w:val="Foto"/>
        <w:rPr>
          <w:noProof/>
        </w:rPr>
      </w:pPr>
    </w:p>
    <w:p w14:paraId="7864DF65" w14:textId="76B90965" w:rsidR="007713FF" w:rsidRDefault="007713FF" w:rsidP="00C6554A">
      <w:pPr>
        <w:pStyle w:val="Foto"/>
        <w:rPr>
          <w:noProof/>
        </w:rPr>
      </w:pPr>
    </w:p>
    <w:p w14:paraId="3C123497" w14:textId="39F626C9" w:rsidR="00CD646E" w:rsidRDefault="00CD646E" w:rsidP="00C6554A">
      <w:pPr>
        <w:pStyle w:val="Foto"/>
        <w:rPr>
          <w:noProof/>
        </w:rPr>
      </w:pPr>
    </w:p>
    <w:p w14:paraId="1FA23DB0" w14:textId="77777777" w:rsidR="00CD646E" w:rsidRDefault="00CD646E" w:rsidP="00C6554A">
      <w:pPr>
        <w:pStyle w:val="Foto"/>
        <w:rPr>
          <w:noProof/>
        </w:rPr>
      </w:pPr>
    </w:p>
    <w:p w14:paraId="65CABD55" w14:textId="7ACB17A5" w:rsidR="00CD646E" w:rsidRDefault="00CD646E" w:rsidP="00C6554A">
      <w:pPr>
        <w:pStyle w:val="Foto"/>
        <w:rPr>
          <w:noProof/>
        </w:rPr>
      </w:pPr>
    </w:p>
    <w:p w14:paraId="60071E21" w14:textId="77777777" w:rsidR="00CD646E" w:rsidRDefault="00CD646E" w:rsidP="00C6554A">
      <w:pPr>
        <w:pStyle w:val="Foto"/>
        <w:rPr>
          <w:noProof/>
        </w:rPr>
      </w:pPr>
    </w:p>
    <w:p w14:paraId="7F8393CE" w14:textId="77777777" w:rsidR="007713FF" w:rsidRDefault="007713FF" w:rsidP="00C6554A">
      <w:pPr>
        <w:pStyle w:val="Foto"/>
        <w:rPr>
          <w:noProof/>
        </w:rPr>
      </w:pPr>
    </w:p>
    <w:p w14:paraId="692D7F23" w14:textId="77777777" w:rsidR="007713FF" w:rsidRDefault="007713FF" w:rsidP="00C6554A">
      <w:pPr>
        <w:pStyle w:val="Foto"/>
        <w:rPr>
          <w:noProof/>
        </w:rPr>
      </w:pPr>
    </w:p>
    <w:p w14:paraId="109D5BC6" w14:textId="77777777" w:rsidR="007713FF" w:rsidRDefault="007713FF" w:rsidP="00C6554A">
      <w:pPr>
        <w:pStyle w:val="Foto"/>
        <w:rPr>
          <w:noProof/>
        </w:rPr>
      </w:pPr>
    </w:p>
    <w:p w14:paraId="0FFB4EDC" w14:textId="77777777" w:rsidR="007713FF" w:rsidRDefault="007713FF" w:rsidP="00C6554A">
      <w:pPr>
        <w:pStyle w:val="Foto"/>
        <w:rPr>
          <w:noProof/>
        </w:rPr>
      </w:pPr>
    </w:p>
    <w:p w14:paraId="3198C217" w14:textId="77777777" w:rsidR="00787D99" w:rsidRDefault="00787D99" w:rsidP="00C6554A">
      <w:pPr>
        <w:pStyle w:val="Foto"/>
        <w:rPr>
          <w:noProof/>
        </w:rPr>
      </w:pPr>
    </w:p>
    <w:p w14:paraId="77ADF958" w14:textId="77777777" w:rsidR="00787D99" w:rsidRDefault="00787D99" w:rsidP="00C6554A">
      <w:pPr>
        <w:pStyle w:val="Foto"/>
        <w:rPr>
          <w:noProof/>
        </w:rPr>
      </w:pPr>
    </w:p>
    <w:p w14:paraId="18C4A58D" w14:textId="77777777" w:rsidR="0035271E" w:rsidRDefault="0035271E" w:rsidP="00C6554A">
      <w:pPr>
        <w:pStyle w:val="Foto"/>
        <w:rPr>
          <w:noProof/>
        </w:rPr>
      </w:pPr>
    </w:p>
    <w:p w14:paraId="3AA6CD17" w14:textId="77777777" w:rsidR="0035271E" w:rsidRDefault="0035271E" w:rsidP="00C6554A">
      <w:pPr>
        <w:pStyle w:val="Foto"/>
        <w:rPr>
          <w:noProof/>
        </w:rPr>
      </w:pPr>
    </w:p>
    <w:p w14:paraId="524F8C63" w14:textId="77777777" w:rsidR="00787D99" w:rsidRDefault="00787D99" w:rsidP="00C6554A">
      <w:pPr>
        <w:pStyle w:val="Foto"/>
        <w:rPr>
          <w:noProof/>
        </w:rPr>
      </w:pPr>
    </w:p>
    <w:p w14:paraId="5FE2858C" w14:textId="77777777" w:rsidR="00787D99" w:rsidRDefault="00787D99" w:rsidP="00C6554A">
      <w:pPr>
        <w:pStyle w:val="Foto"/>
        <w:rPr>
          <w:noProof/>
        </w:rPr>
      </w:pPr>
    </w:p>
    <w:p w14:paraId="35A80F6A" w14:textId="77777777" w:rsidR="00BC2768" w:rsidRDefault="00BC2768" w:rsidP="00C6554A">
      <w:pPr>
        <w:pStyle w:val="Foto"/>
        <w:rPr>
          <w:noProof/>
        </w:rPr>
      </w:pPr>
    </w:p>
    <w:p w14:paraId="07634A18" w14:textId="77777777" w:rsidR="007713FF" w:rsidRDefault="007713FF" w:rsidP="00C6554A">
      <w:pPr>
        <w:pStyle w:val="Foto"/>
        <w:rPr>
          <w:noProof/>
        </w:rPr>
      </w:pPr>
    </w:p>
    <w:p w14:paraId="2D4375CD" w14:textId="77777777" w:rsidR="007713FF" w:rsidRPr="009679B1" w:rsidRDefault="007713FF" w:rsidP="00C6554A">
      <w:pPr>
        <w:pStyle w:val="Foto"/>
        <w:rPr>
          <w:noProof/>
        </w:rPr>
      </w:pPr>
    </w:p>
    <w:p w14:paraId="0CFF436C" w14:textId="0FB036E0" w:rsidR="00787D99" w:rsidRDefault="0035271E" w:rsidP="00C6554A">
      <w:pPr>
        <w:pStyle w:val="Subttulo"/>
        <w:rPr>
          <w:noProof/>
        </w:rPr>
      </w:pPr>
      <w:r w:rsidRPr="0035271E">
        <w:rPr>
          <w:caps w:val="0"/>
          <w:noProof/>
          <w:color w:val="007789" w:themeColor="accent1" w:themeShade="BF"/>
          <w:kern w:val="28"/>
          <w:sz w:val="60"/>
        </w:rPr>
        <w:t>Cr</w:t>
      </w:r>
      <w:r w:rsidR="00317207">
        <w:rPr>
          <w:caps w:val="0"/>
          <w:noProof/>
          <w:color w:val="007789" w:themeColor="accent1" w:themeShade="BF"/>
          <w:kern w:val="28"/>
          <w:sz w:val="60"/>
        </w:rPr>
        <w:t>ít</w:t>
      </w:r>
      <w:r w:rsidRPr="0035271E">
        <w:rPr>
          <w:caps w:val="0"/>
          <w:noProof/>
          <w:color w:val="007789" w:themeColor="accent1" w:themeShade="BF"/>
          <w:kern w:val="28"/>
          <w:sz w:val="60"/>
        </w:rPr>
        <w:t xml:space="preserve">ica de </w:t>
      </w:r>
      <w:r w:rsidR="00FF4DD2">
        <w:rPr>
          <w:caps w:val="0"/>
          <w:noProof/>
          <w:color w:val="007789" w:themeColor="accent1" w:themeShade="BF"/>
          <w:kern w:val="28"/>
          <w:sz w:val="60"/>
        </w:rPr>
        <w:t>V</w:t>
      </w:r>
      <w:r w:rsidRPr="0035271E">
        <w:rPr>
          <w:caps w:val="0"/>
          <w:noProof/>
          <w:color w:val="007789" w:themeColor="accent1" w:themeShade="BF"/>
          <w:kern w:val="28"/>
          <w:sz w:val="60"/>
        </w:rPr>
        <w:t>isualizaciones</w:t>
      </w:r>
    </w:p>
    <w:p w14:paraId="2C8C6F77" w14:textId="059A56C4" w:rsidR="00C6554A" w:rsidRDefault="00CD646E" w:rsidP="00C6554A">
      <w:pPr>
        <w:pStyle w:val="Subttulo"/>
        <w:rPr>
          <w:noProof/>
        </w:rPr>
      </w:pPr>
      <w:r>
        <w:rPr>
          <w:noProof/>
        </w:rPr>
        <w:t>MAGISTER EN DATA SCIENCE</w:t>
      </w:r>
    </w:p>
    <w:p w14:paraId="21087B15" w14:textId="77777777" w:rsidR="00CD646E" w:rsidRDefault="00CD646E" w:rsidP="00C6554A">
      <w:pPr>
        <w:pStyle w:val="Subttulo"/>
        <w:rPr>
          <w:noProof/>
        </w:rPr>
      </w:pPr>
    </w:p>
    <w:p w14:paraId="12080BB9" w14:textId="77777777" w:rsidR="007713FF" w:rsidRDefault="007713FF" w:rsidP="00C6554A">
      <w:pPr>
        <w:pStyle w:val="Subttulo"/>
        <w:rPr>
          <w:noProof/>
        </w:rPr>
      </w:pPr>
    </w:p>
    <w:p w14:paraId="7F62F7C7" w14:textId="77777777" w:rsidR="00787D99" w:rsidRDefault="00787D99" w:rsidP="00C6554A">
      <w:pPr>
        <w:pStyle w:val="Subttulo"/>
        <w:rPr>
          <w:noProof/>
        </w:rPr>
      </w:pPr>
    </w:p>
    <w:p w14:paraId="42FBB469" w14:textId="77777777" w:rsidR="00CD646E" w:rsidRDefault="00CD646E" w:rsidP="00C6554A">
      <w:pPr>
        <w:pStyle w:val="Subttulo"/>
        <w:rPr>
          <w:noProof/>
        </w:rPr>
      </w:pPr>
    </w:p>
    <w:p w14:paraId="3E83678E" w14:textId="77777777" w:rsidR="00E62859" w:rsidRDefault="00E62859" w:rsidP="00C6554A">
      <w:pPr>
        <w:pStyle w:val="Subttulo"/>
        <w:rPr>
          <w:noProof/>
        </w:rPr>
      </w:pPr>
    </w:p>
    <w:p w14:paraId="02134FC5" w14:textId="77777777" w:rsidR="0035271E" w:rsidRDefault="0035271E" w:rsidP="00C6554A">
      <w:pPr>
        <w:pStyle w:val="Subttulo"/>
        <w:rPr>
          <w:noProof/>
        </w:rPr>
      </w:pPr>
    </w:p>
    <w:p w14:paraId="796A343D" w14:textId="77777777" w:rsidR="0035271E" w:rsidRDefault="0035271E" w:rsidP="00C6554A">
      <w:pPr>
        <w:pStyle w:val="Subttulo"/>
        <w:rPr>
          <w:noProof/>
        </w:rPr>
      </w:pPr>
    </w:p>
    <w:p w14:paraId="77892FD0" w14:textId="77777777" w:rsidR="00E62859" w:rsidRDefault="00E62859" w:rsidP="00C6554A">
      <w:pPr>
        <w:pStyle w:val="Subttulo"/>
        <w:rPr>
          <w:noProof/>
        </w:rPr>
      </w:pPr>
    </w:p>
    <w:p w14:paraId="7E1CB2A8" w14:textId="77777777" w:rsidR="00787D99" w:rsidRDefault="00787D99" w:rsidP="00C6554A">
      <w:pPr>
        <w:pStyle w:val="Subttulo"/>
        <w:rPr>
          <w:noProof/>
        </w:rPr>
      </w:pPr>
    </w:p>
    <w:p w14:paraId="7AE18556" w14:textId="77777777" w:rsidR="00787D99" w:rsidRDefault="00787D99" w:rsidP="00C6554A">
      <w:pPr>
        <w:pStyle w:val="Subttulo"/>
        <w:rPr>
          <w:noProof/>
        </w:rPr>
      </w:pPr>
    </w:p>
    <w:p w14:paraId="1C843D79" w14:textId="77777777" w:rsidR="000B1DA2" w:rsidRDefault="000B1DA2" w:rsidP="00C6554A">
      <w:pPr>
        <w:pStyle w:val="Subttulo"/>
        <w:rPr>
          <w:noProof/>
        </w:rPr>
      </w:pPr>
    </w:p>
    <w:p w14:paraId="79E9BE21" w14:textId="77777777" w:rsidR="00CD646E" w:rsidRDefault="00CD646E" w:rsidP="00C6554A">
      <w:pPr>
        <w:pStyle w:val="Subttulo"/>
        <w:rPr>
          <w:noProof/>
        </w:rPr>
      </w:pPr>
    </w:p>
    <w:p w14:paraId="25C747C2" w14:textId="77777777" w:rsidR="00CD646E" w:rsidRDefault="00CD646E" w:rsidP="00C6554A">
      <w:pPr>
        <w:pStyle w:val="Subttulo"/>
        <w:rPr>
          <w:noProof/>
        </w:rPr>
      </w:pPr>
    </w:p>
    <w:p w14:paraId="705DBCB6" w14:textId="77777777" w:rsidR="00CD646E" w:rsidRDefault="00CD646E" w:rsidP="00C6554A">
      <w:pPr>
        <w:pStyle w:val="Subttulo"/>
        <w:rPr>
          <w:noProof/>
        </w:rPr>
      </w:pPr>
    </w:p>
    <w:p w14:paraId="24CB023B" w14:textId="77777777" w:rsidR="00CD646E" w:rsidRPr="009679B1" w:rsidRDefault="00CD646E" w:rsidP="00C6554A">
      <w:pPr>
        <w:pStyle w:val="Subttulo"/>
        <w:rPr>
          <w:noProof/>
        </w:rPr>
      </w:pPr>
    </w:p>
    <w:p w14:paraId="229CE18E" w14:textId="0AF2D8FF" w:rsidR="00C6554A" w:rsidRPr="009679B1" w:rsidRDefault="00CD646E" w:rsidP="00C6554A">
      <w:pPr>
        <w:pStyle w:val="Informacindecontacto"/>
        <w:rPr>
          <w:noProof/>
        </w:rPr>
      </w:pPr>
      <w:r>
        <w:rPr>
          <w:noProof/>
        </w:rPr>
        <w:t>Carlos Saquel Depaoli</w:t>
      </w:r>
      <w:r w:rsidR="00C6554A" w:rsidRPr="009679B1">
        <w:rPr>
          <w:noProof/>
          <w:lang w:bidi="es-ES"/>
        </w:rPr>
        <w:t xml:space="preserve"> | </w:t>
      </w:r>
      <w:bookmarkStart w:id="0" w:name="_Hlk176948216"/>
      <w:r w:rsidR="00F91B90">
        <w:rPr>
          <w:noProof/>
        </w:rPr>
        <w:t>Visualización de la Información</w:t>
      </w:r>
      <w:r w:rsidR="00C6554A" w:rsidRPr="009679B1">
        <w:rPr>
          <w:noProof/>
          <w:lang w:bidi="es-ES"/>
        </w:rPr>
        <w:t xml:space="preserve"> </w:t>
      </w:r>
      <w:bookmarkEnd w:id="0"/>
      <w:r w:rsidR="00C6554A" w:rsidRPr="009679B1">
        <w:rPr>
          <w:noProof/>
          <w:lang w:bidi="es-ES"/>
        </w:rPr>
        <w:t xml:space="preserve">| </w:t>
      </w:r>
      <w:r w:rsidR="00702AE0">
        <w:rPr>
          <w:noProof/>
        </w:rPr>
        <w:t>1</w:t>
      </w:r>
      <w:r w:rsidR="0035271E">
        <w:rPr>
          <w:noProof/>
        </w:rPr>
        <w:t>2</w:t>
      </w:r>
      <w:r>
        <w:rPr>
          <w:noProof/>
        </w:rPr>
        <w:t>-0</w:t>
      </w:r>
      <w:r w:rsidR="00702AE0">
        <w:rPr>
          <w:noProof/>
        </w:rPr>
        <w:t>9</w:t>
      </w:r>
      <w:r>
        <w:rPr>
          <w:noProof/>
        </w:rPr>
        <w:t>-2024</w:t>
      </w:r>
      <w:r w:rsidR="00C6554A" w:rsidRPr="009679B1">
        <w:rPr>
          <w:noProof/>
          <w:lang w:bidi="es-ES"/>
        </w:rPr>
        <w:br w:type="page"/>
      </w:r>
    </w:p>
    <w:p w14:paraId="0DDB92A4" w14:textId="2602613D" w:rsidR="00B0710A" w:rsidRDefault="00624E5C" w:rsidP="00B0710A">
      <w:pPr>
        <w:pStyle w:val="Ttulo2"/>
        <w:rPr>
          <w:noProof/>
          <w:sz w:val="32"/>
          <w:szCs w:val="32"/>
        </w:rPr>
      </w:pPr>
      <w:r>
        <w:rPr>
          <w:noProof/>
          <w:sz w:val="32"/>
          <w:szCs w:val="32"/>
        </w:rPr>
        <w:lastRenderedPageBreak/>
        <w:t>GRÁFICO I</w:t>
      </w:r>
    </w:p>
    <w:p w14:paraId="28C44536" w14:textId="6B5A7B11" w:rsidR="00726980" w:rsidRDefault="002A68FA" w:rsidP="00726980">
      <w:pPr>
        <w:jc w:val="center"/>
        <w:rPr>
          <w:noProof/>
        </w:rPr>
      </w:pPr>
      <w:r w:rsidRPr="002A68FA">
        <w:rPr>
          <w:noProof/>
        </w:rPr>
        <w:drawing>
          <wp:inline distT="0" distB="0" distL="0" distR="0" wp14:anchorId="09302DBF" wp14:editId="1D18B568">
            <wp:extent cx="5274310" cy="5083810"/>
            <wp:effectExtent l="0" t="0" r="2540" b="2540"/>
            <wp:docPr id="1533880408" name="Imagen 1" descr="Gráfico,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80408" name="Imagen 1" descr="Gráfico, Escala de tiempo&#10;&#10;Descripción generada automáticamente"/>
                    <pic:cNvPicPr/>
                  </pic:nvPicPr>
                  <pic:blipFill>
                    <a:blip r:embed="rId8"/>
                    <a:stretch>
                      <a:fillRect/>
                    </a:stretch>
                  </pic:blipFill>
                  <pic:spPr>
                    <a:xfrm>
                      <a:off x="0" y="0"/>
                      <a:ext cx="5274310" cy="5083810"/>
                    </a:xfrm>
                    <a:prstGeom prst="rect">
                      <a:avLst/>
                    </a:prstGeom>
                  </pic:spPr>
                </pic:pic>
              </a:graphicData>
            </a:graphic>
          </wp:inline>
        </w:drawing>
      </w:r>
      <w:r w:rsidR="00A06BE8">
        <w:rPr>
          <w:noProof/>
        </w:rPr>
        <w:t xml:space="preserve">  </w:t>
      </w:r>
    </w:p>
    <w:p w14:paraId="14D9B28E" w14:textId="4C296A77" w:rsidR="001110EC" w:rsidRDefault="001110EC" w:rsidP="00787D99">
      <w:pPr>
        <w:jc w:val="both"/>
        <w:rPr>
          <w:b/>
          <w:bCs/>
        </w:rPr>
      </w:pPr>
      <w:r>
        <w:rPr>
          <w:b/>
          <w:bCs/>
        </w:rPr>
        <w:t>Articulo</w:t>
      </w:r>
      <w:r>
        <w:t xml:space="preserve">: </w:t>
      </w:r>
      <w:r w:rsidRPr="00B52EC3">
        <w:rPr>
          <w:lang w:val="es-CL"/>
        </w:rPr>
        <w:t xml:space="preserve">2024 UK general </w:t>
      </w:r>
      <w:proofErr w:type="spellStart"/>
      <w:r w:rsidRPr="00B52EC3">
        <w:rPr>
          <w:lang w:val="es-CL"/>
        </w:rPr>
        <w:t>election</w:t>
      </w:r>
      <w:proofErr w:type="spellEnd"/>
      <w:r w:rsidRPr="00B52EC3">
        <w:rPr>
          <w:lang w:val="es-CL"/>
        </w:rPr>
        <w:t xml:space="preserve"> </w:t>
      </w:r>
      <w:proofErr w:type="spellStart"/>
      <w:r w:rsidRPr="00B52EC3">
        <w:rPr>
          <w:lang w:val="es-CL"/>
        </w:rPr>
        <w:t>results</w:t>
      </w:r>
      <w:proofErr w:type="spellEnd"/>
      <w:r w:rsidRPr="00B52EC3">
        <w:rPr>
          <w:lang w:val="es-CL"/>
        </w:rPr>
        <w:t xml:space="preserve"> in </w:t>
      </w:r>
      <w:proofErr w:type="spellStart"/>
      <w:r w:rsidRPr="00B52EC3">
        <w:rPr>
          <w:lang w:val="es-CL"/>
        </w:rPr>
        <w:t>graphics</w:t>
      </w:r>
      <w:proofErr w:type="spellEnd"/>
      <w:r>
        <w:rPr>
          <w:lang w:val="es-CL"/>
        </w:rPr>
        <w:t>.</w:t>
      </w:r>
    </w:p>
    <w:p w14:paraId="3C0E1181" w14:textId="5E1F9D6E" w:rsidR="009B5569" w:rsidRDefault="009B5569" w:rsidP="009B5569">
      <w:r w:rsidRPr="009D1120">
        <w:rPr>
          <w:b/>
          <w:bCs/>
        </w:rPr>
        <w:t>Referencia</w:t>
      </w:r>
      <w:r>
        <w:t xml:space="preserve">: </w:t>
      </w:r>
      <w:hyperlink r:id="rId9" w:history="1">
        <w:r w:rsidRPr="002706EF">
          <w:rPr>
            <w:rStyle w:val="Hipervnculo"/>
          </w:rPr>
          <w:t>https://edition.cnn.com/2024/07/04/uk/uk-election-results-tracker-map-2024-intl/index.html</w:t>
        </w:r>
      </w:hyperlink>
    </w:p>
    <w:p w14:paraId="5ABB6E7F" w14:textId="77777777" w:rsidR="00CE5E60" w:rsidRDefault="00CE5E60" w:rsidP="00B52EC3">
      <w:pPr>
        <w:jc w:val="both"/>
        <w:rPr>
          <w:lang w:val="es-CL"/>
        </w:rPr>
      </w:pPr>
    </w:p>
    <w:p w14:paraId="6E912F2A" w14:textId="50620089" w:rsidR="003E6508" w:rsidRPr="0037209B" w:rsidRDefault="003E6508" w:rsidP="00B52EC3">
      <w:pPr>
        <w:jc w:val="both"/>
        <w:rPr>
          <w:b/>
          <w:bCs/>
          <w:lang w:val="es-CL"/>
        </w:rPr>
      </w:pPr>
      <w:r w:rsidRPr="003E6508">
        <w:rPr>
          <w:lang w:val="es-CL"/>
        </w:rPr>
        <w:t>El gráfico muestra los resultados de las elecciones generales del Reino Unido en 2024, representando la distribución de escaños en el Parlamento</w:t>
      </w:r>
      <w:r w:rsidR="00BF2B84">
        <w:rPr>
          <w:lang w:val="es-CL"/>
        </w:rPr>
        <w:t xml:space="preserve"> con un </w:t>
      </w:r>
      <w:proofErr w:type="spellStart"/>
      <w:r w:rsidR="00BF2B84">
        <w:rPr>
          <w:lang w:val="es-CL"/>
        </w:rPr>
        <w:t>waffle</w:t>
      </w:r>
      <w:proofErr w:type="spellEnd"/>
      <w:r w:rsidR="00BF2B84">
        <w:rPr>
          <w:lang w:val="es-CL"/>
        </w:rPr>
        <w:t xml:space="preserve"> chart.</w:t>
      </w:r>
    </w:p>
    <w:p w14:paraId="6D128FA4" w14:textId="3947B473" w:rsidR="00164F67" w:rsidRPr="00584D85" w:rsidRDefault="00600AD1" w:rsidP="00164F67">
      <w:pPr>
        <w:jc w:val="both"/>
        <w:rPr>
          <w:b/>
          <w:bCs/>
        </w:rPr>
      </w:pPr>
      <w:r w:rsidRPr="00600AD1">
        <w:rPr>
          <w:b/>
          <w:bCs/>
        </w:rPr>
        <w:t>Aspectos Positivos</w:t>
      </w:r>
      <w:r w:rsidR="00164F67" w:rsidRPr="00584D85">
        <w:rPr>
          <w:b/>
          <w:bCs/>
        </w:rPr>
        <w:t>:</w:t>
      </w:r>
    </w:p>
    <w:p w14:paraId="0CB31863" w14:textId="184F6CBB" w:rsidR="00584D85" w:rsidRDefault="00164F67" w:rsidP="00164F67">
      <w:pPr>
        <w:pStyle w:val="Prrafodelista"/>
        <w:numPr>
          <w:ilvl w:val="0"/>
          <w:numId w:val="25"/>
        </w:numPr>
        <w:jc w:val="both"/>
      </w:pPr>
      <w:r>
        <w:t xml:space="preserve">El uso </w:t>
      </w:r>
      <w:r w:rsidR="00C130AD">
        <w:t xml:space="preserve">de </w:t>
      </w:r>
      <w:proofErr w:type="spellStart"/>
      <w:r w:rsidR="00C130AD">
        <w:t>waffle</w:t>
      </w:r>
      <w:proofErr w:type="spellEnd"/>
      <w:r w:rsidR="00C130AD">
        <w:t xml:space="preserve"> char</w:t>
      </w:r>
      <w:r w:rsidR="00BC396A">
        <w:t xml:space="preserve">t con </w:t>
      </w:r>
      <w:r>
        <w:t xml:space="preserve">colores es claro y efectivo. Cada partido tiene su color distintivo, lo que facilita una rápida identificación de los </w:t>
      </w:r>
      <w:r w:rsidR="00324FF8">
        <w:t xml:space="preserve">escaños </w:t>
      </w:r>
      <w:r>
        <w:t>ganados por cada uno.</w:t>
      </w:r>
    </w:p>
    <w:p w14:paraId="6013E033" w14:textId="3A0AFABB" w:rsidR="00584D85" w:rsidRDefault="00164F67" w:rsidP="00315215">
      <w:pPr>
        <w:pStyle w:val="Prrafodelista"/>
        <w:numPr>
          <w:ilvl w:val="0"/>
          <w:numId w:val="25"/>
        </w:numPr>
        <w:jc w:val="both"/>
      </w:pPr>
      <w:r>
        <w:t xml:space="preserve">La línea negra vertical que indica el </w:t>
      </w:r>
      <w:r w:rsidR="008351C2">
        <w:t>punto de corte para l</w:t>
      </w:r>
      <w:r>
        <w:t xml:space="preserve">a mayoría (326 escaños) está bien </w:t>
      </w:r>
      <w:r w:rsidR="008351C2">
        <w:t xml:space="preserve">ubicada </w:t>
      </w:r>
      <w:r>
        <w:t xml:space="preserve">y ayuda a destacar </w:t>
      </w:r>
      <w:r w:rsidR="00F05A96">
        <w:t xml:space="preserve">la </w:t>
      </w:r>
      <w:r>
        <w:t>victoria del Partido Laborista.</w:t>
      </w:r>
    </w:p>
    <w:p w14:paraId="225C7A28" w14:textId="3F053F3D" w:rsidR="00584D85" w:rsidRDefault="00164F67" w:rsidP="00F433C1">
      <w:pPr>
        <w:pStyle w:val="Prrafodelista"/>
        <w:numPr>
          <w:ilvl w:val="0"/>
          <w:numId w:val="25"/>
        </w:numPr>
        <w:jc w:val="both"/>
      </w:pPr>
      <w:r>
        <w:lastRenderedPageBreak/>
        <w:t>La tipografía es clara, y el uso del texto para resumir los datos (número de escaños ganados por cada partido) está bien hecho. Además, el título del gráfico resume la narrativa con precisión.</w:t>
      </w:r>
    </w:p>
    <w:p w14:paraId="3B53C6CB" w14:textId="4757DB28" w:rsidR="00584D85" w:rsidRDefault="00164F67" w:rsidP="00476FFF">
      <w:pPr>
        <w:pStyle w:val="Prrafodelista"/>
        <w:numPr>
          <w:ilvl w:val="0"/>
          <w:numId w:val="25"/>
        </w:numPr>
        <w:jc w:val="both"/>
      </w:pPr>
      <w:r>
        <w:t xml:space="preserve">Las imágenes en blanco y negro de los líderes de los principales partidos añaden un toque </w:t>
      </w:r>
      <w:r w:rsidR="00E802FF">
        <w:t>distintivo</w:t>
      </w:r>
      <w:r w:rsidR="00FE68E2">
        <w:t xml:space="preserve"> (sobre todo el coloreado de las corbatas)</w:t>
      </w:r>
      <w:r>
        <w:t xml:space="preserve"> y facilitan la asociación de resultados con figuras políticas </w:t>
      </w:r>
      <w:r w:rsidR="00612A47">
        <w:t>reconocibles</w:t>
      </w:r>
      <w:r>
        <w:t>.</w:t>
      </w:r>
    </w:p>
    <w:p w14:paraId="5B372046" w14:textId="559A68BC" w:rsidR="005E4840" w:rsidRDefault="00164F67" w:rsidP="00476FFF">
      <w:pPr>
        <w:pStyle w:val="Prrafodelista"/>
        <w:numPr>
          <w:ilvl w:val="0"/>
          <w:numId w:val="25"/>
        </w:numPr>
        <w:jc w:val="both"/>
      </w:pPr>
      <w:r>
        <w:t>El gráfico</w:t>
      </w:r>
      <w:r w:rsidR="00D45669">
        <w:t xml:space="preserve"> de barra apilada</w:t>
      </w:r>
      <w:r>
        <w:t xml:space="preserve"> en la parte inferior con la proporción de</w:t>
      </w:r>
      <w:r w:rsidR="00BE44EC">
        <w:t xml:space="preserve"> </w:t>
      </w:r>
      <w:r>
        <w:t xml:space="preserve">voto popular </w:t>
      </w:r>
      <w:r w:rsidR="00BE44EC">
        <w:t>entrega</w:t>
      </w:r>
      <w:r>
        <w:t xml:space="preserve"> un contexto adicional úti</w:t>
      </w:r>
      <w:r w:rsidR="009B39B7">
        <w:t xml:space="preserve">l. Con esto se puede comparar </w:t>
      </w:r>
      <w:r>
        <w:t>la relación entre escaños y voto popular</w:t>
      </w:r>
      <w:r w:rsidR="00584D85">
        <w:t>.</w:t>
      </w:r>
      <w:r w:rsidR="00437760">
        <w:t xml:space="preserve"> </w:t>
      </w:r>
    </w:p>
    <w:p w14:paraId="4A8A9CE0" w14:textId="700BA8F9" w:rsidR="00F75494" w:rsidRDefault="00F75494" w:rsidP="00476FFF">
      <w:pPr>
        <w:pStyle w:val="Prrafodelista"/>
        <w:numPr>
          <w:ilvl w:val="0"/>
          <w:numId w:val="25"/>
        </w:numPr>
        <w:jc w:val="both"/>
      </w:pPr>
      <w:r>
        <w:t xml:space="preserve">La barra con el porcentaje de </w:t>
      </w:r>
      <w:r w:rsidR="0082450F">
        <w:t>participación es información adicional útil, que esté en gris lo hace mejor, y</w:t>
      </w:r>
      <w:r w:rsidR="00F633D9">
        <w:t>a que no distrae de los elementos principales.</w:t>
      </w:r>
    </w:p>
    <w:p w14:paraId="6479F388" w14:textId="001362E8" w:rsidR="00B84625" w:rsidRDefault="00B84625" w:rsidP="00476FFF">
      <w:pPr>
        <w:pStyle w:val="Prrafodelista"/>
        <w:numPr>
          <w:ilvl w:val="0"/>
          <w:numId w:val="25"/>
        </w:numPr>
        <w:jc w:val="both"/>
      </w:pPr>
      <w:r>
        <w:t xml:space="preserve">El gráfico es interactivo, </w:t>
      </w:r>
      <w:r w:rsidR="00495A57">
        <w:t xml:space="preserve">cuenta con </w:t>
      </w:r>
      <w:proofErr w:type="spellStart"/>
      <w:r w:rsidR="00495A57">
        <w:t>tooltips</w:t>
      </w:r>
      <w:proofErr w:type="spellEnd"/>
      <w:r w:rsidR="00495A57">
        <w:t xml:space="preserve"> de</w:t>
      </w:r>
      <w:r>
        <w:t xml:space="preserve"> </w:t>
      </w:r>
      <w:r w:rsidR="006E1D5E">
        <w:t xml:space="preserve">cada distrito al seleccionar </w:t>
      </w:r>
      <w:r w:rsidR="00E607B8">
        <w:t>cada recuadro</w:t>
      </w:r>
      <w:r w:rsidR="00A456C3">
        <w:t xml:space="preserve"> (el recuadro representa al distrito)</w:t>
      </w:r>
      <w:r w:rsidR="00E607B8">
        <w:t>.</w:t>
      </w:r>
    </w:p>
    <w:p w14:paraId="2E30D850" w14:textId="023AC44F" w:rsidR="00164F67" w:rsidRPr="00584D85" w:rsidRDefault="00600AD1" w:rsidP="00164F67">
      <w:pPr>
        <w:jc w:val="both"/>
        <w:rPr>
          <w:b/>
          <w:bCs/>
        </w:rPr>
      </w:pPr>
      <w:r w:rsidRPr="00600AD1">
        <w:rPr>
          <w:b/>
          <w:bCs/>
        </w:rPr>
        <w:t xml:space="preserve">Aspectos </w:t>
      </w:r>
      <w:r>
        <w:rPr>
          <w:b/>
          <w:bCs/>
        </w:rPr>
        <w:t>Negativos</w:t>
      </w:r>
      <w:r w:rsidR="00164F67" w:rsidRPr="00584D85">
        <w:rPr>
          <w:b/>
          <w:bCs/>
        </w:rPr>
        <w:t>:</w:t>
      </w:r>
    </w:p>
    <w:p w14:paraId="23000C88" w14:textId="77826CA3" w:rsidR="00584D85" w:rsidRDefault="00164F67" w:rsidP="00E949F6">
      <w:pPr>
        <w:pStyle w:val="Prrafodelista"/>
        <w:numPr>
          <w:ilvl w:val="0"/>
          <w:numId w:val="26"/>
        </w:numPr>
        <w:jc w:val="both"/>
      </w:pPr>
      <w:r>
        <w:t xml:space="preserve">Los partidos pequeños como DUP, </w:t>
      </w:r>
      <w:proofErr w:type="spellStart"/>
      <w:r>
        <w:t>Reform</w:t>
      </w:r>
      <w:proofErr w:type="spellEnd"/>
      <w:r>
        <w:t>, Green y otros están representados en la leyenda con un detalle bastante reducido, lo que puede ser difícil de leer y entender a simple vista.</w:t>
      </w:r>
    </w:p>
    <w:p w14:paraId="17D15C80" w14:textId="4474C41D" w:rsidR="00584D85" w:rsidRDefault="00EB15EF" w:rsidP="009D1120">
      <w:pPr>
        <w:pStyle w:val="Prrafodelista"/>
        <w:numPr>
          <w:ilvl w:val="0"/>
          <w:numId w:val="26"/>
        </w:numPr>
        <w:jc w:val="both"/>
      </w:pPr>
      <w:r>
        <w:t>En el gráfico de voto popular</w:t>
      </w:r>
      <w:r w:rsidR="00447BB1">
        <w:t>,</w:t>
      </w:r>
      <w:r>
        <w:t xml:space="preserve"> </w:t>
      </w:r>
      <w:r w:rsidR="001E036A">
        <w:t>las etiquetas</w:t>
      </w:r>
      <w:r w:rsidR="0043346A">
        <w:t xml:space="preserve"> de los partidos con menos votación no están correctamente</w:t>
      </w:r>
      <w:r w:rsidR="00D45669">
        <w:t xml:space="preserve"> asignad</w:t>
      </w:r>
      <w:r w:rsidR="001E036A">
        <w:t>a</w:t>
      </w:r>
      <w:r w:rsidR="00D45669">
        <w:t xml:space="preserve">s </w:t>
      </w:r>
      <w:r w:rsidR="001E036A">
        <w:t>en la</w:t>
      </w:r>
      <w:r w:rsidR="00D45669">
        <w:t xml:space="preserve"> </w:t>
      </w:r>
      <w:r w:rsidR="00C43589">
        <w:t>barra</w:t>
      </w:r>
      <w:r w:rsidR="0043346A">
        <w:t>, esto puede generar confusión a simple vista</w:t>
      </w:r>
      <w:r w:rsidR="00164F67">
        <w:t>.</w:t>
      </w:r>
    </w:p>
    <w:p w14:paraId="7E6A5016" w14:textId="2539F037" w:rsidR="00584D85" w:rsidRDefault="00164F67" w:rsidP="005C0F28">
      <w:pPr>
        <w:pStyle w:val="Prrafodelista"/>
        <w:numPr>
          <w:ilvl w:val="0"/>
          <w:numId w:val="26"/>
        </w:numPr>
        <w:jc w:val="both"/>
      </w:pPr>
      <w:r>
        <w:t>Aunque se incluye la proporción de votos populares, no se muestran los números absolutos de votos, lo que podría haber proporcionado un contexto más claro sobre cuántas personas votaron por cada partido.</w:t>
      </w:r>
    </w:p>
    <w:p w14:paraId="56CE0A21" w14:textId="77777777" w:rsidR="00CA34F4" w:rsidRPr="00CA34F4" w:rsidRDefault="00447BB1" w:rsidP="00BB781D">
      <w:pPr>
        <w:pStyle w:val="Prrafodelista"/>
        <w:numPr>
          <w:ilvl w:val="0"/>
          <w:numId w:val="26"/>
        </w:numPr>
        <w:jc w:val="both"/>
        <w:rPr>
          <w:b/>
          <w:bCs/>
        </w:rPr>
      </w:pPr>
      <w:r w:rsidRPr="00447BB1">
        <w:t xml:space="preserve">Aunque se presenta mucha información útil, puede ser abrumador </w:t>
      </w:r>
      <w:r w:rsidR="00CA34F4">
        <w:t>tanta información a la vez</w:t>
      </w:r>
      <w:r w:rsidRPr="00447BB1">
        <w:t>.</w:t>
      </w:r>
    </w:p>
    <w:p w14:paraId="467D4457" w14:textId="439F7165" w:rsidR="00164F67" w:rsidRPr="00CA34F4" w:rsidRDefault="00164F67" w:rsidP="009C554B">
      <w:pPr>
        <w:jc w:val="both"/>
        <w:rPr>
          <w:b/>
          <w:bCs/>
        </w:rPr>
      </w:pPr>
      <w:r w:rsidRPr="00CA34F4">
        <w:rPr>
          <w:b/>
          <w:bCs/>
        </w:rPr>
        <w:t>Posibles mejoras:</w:t>
      </w:r>
    </w:p>
    <w:p w14:paraId="468B1B98" w14:textId="7D3BFD72" w:rsidR="00D87170" w:rsidRDefault="00164F67" w:rsidP="006F5A5D">
      <w:pPr>
        <w:pStyle w:val="Prrafodelista"/>
        <w:numPr>
          <w:ilvl w:val="0"/>
          <w:numId w:val="27"/>
        </w:numPr>
        <w:jc w:val="both"/>
      </w:pPr>
      <w:r>
        <w:t>Aumentar la claridad en la leyenda:</w:t>
      </w:r>
      <w:r w:rsidR="00D87170">
        <w:t xml:space="preserve"> l</w:t>
      </w:r>
      <w:r>
        <w:t>a leyenda para los partidos más pequeños podría ser más clara, quizás aumentando el tamaño del texto o incluyendo iconos adicionales o gráficos separados para los partidos pequeños.</w:t>
      </w:r>
      <w:r w:rsidR="00D87170">
        <w:t xml:space="preserve"> </w:t>
      </w:r>
      <w:r>
        <w:t xml:space="preserve">También se podrían usar </w:t>
      </w:r>
      <w:proofErr w:type="spellStart"/>
      <w:r>
        <w:t>tooltips</w:t>
      </w:r>
      <w:proofErr w:type="spellEnd"/>
      <w:r>
        <w:t xml:space="preserve"> interactivos, para que el usuario pueda explorar los detalles de estos partidos sin saturar la visualización principal.</w:t>
      </w:r>
    </w:p>
    <w:p w14:paraId="762C4DB3" w14:textId="736F497A" w:rsidR="00A456C3" w:rsidRDefault="00530776" w:rsidP="006F5A5D">
      <w:pPr>
        <w:pStyle w:val="Prrafodelista"/>
        <w:numPr>
          <w:ilvl w:val="0"/>
          <w:numId w:val="27"/>
        </w:numPr>
        <w:jc w:val="both"/>
      </w:pPr>
      <w:r>
        <w:t xml:space="preserve">Más información en los </w:t>
      </w:r>
      <w:proofErr w:type="spellStart"/>
      <w:r>
        <w:t>tooltips</w:t>
      </w:r>
      <w:proofErr w:type="spellEnd"/>
      <w:r>
        <w:t>: e</w:t>
      </w:r>
      <w:r w:rsidR="00A456C3">
        <w:t xml:space="preserve">n los </w:t>
      </w:r>
      <w:proofErr w:type="spellStart"/>
      <w:r w:rsidR="00A456C3">
        <w:t>tooltips</w:t>
      </w:r>
      <w:proofErr w:type="spellEnd"/>
      <w:r w:rsidR="00A456C3">
        <w:t xml:space="preserve"> del </w:t>
      </w:r>
      <w:proofErr w:type="spellStart"/>
      <w:r w:rsidR="0074194A">
        <w:t>waffle</w:t>
      </w:r>
      <w:proofErr w:type="spellEnd"/>
      <w:r w:rsidR="0074194A">
        <w:t xml:space="preserve"> chart se podría añadir un poco más de información (sin saturar) como</w:t>
      </w:r>
      <w:r w:rsidR="00094AE7">
        <w:t xml:space="preserve"> votos totales y porcentaje de votos.</w:t>
      </w:r>
    </w:p>
    <w:p w14:paraId="1B1D7193" w14:textId="77777777" w:rsidR="00BE768F" w:rsidRDefault="00164F67" w:rsidP="00164F67">
      <w:pPr>
        <w:pStyle w:val="Prrafodelista"/>
        <w:numPr>
          <w:ilvl w:val="0"/>
          <w:numId w:val="27"/>
        </w:numPr>
        <w:jc w:val="both"/>
      </w:pPr>
      <w:r>
        <w:t>Mejorar el contraste en los gráficos de proporciones:</w:t>
      </w:r>
      <w:r w:rsidR="00D87170">
        <w:t xml:space="preserve"> u</w:t>
      </w:r>
      <w:r>
        <w:t xml:space="preserve">sar colores más contrastantes o patrones diferentes en el gráfico de barras inferior ayudaría a que la proporción de votos para partidos menores fuera más visible. Colores más vivos para </w:t>
      </w:r>
      <w:proofErr w:type="spellStart"/>
      <w:r>
        <w:t>Reform</w:t>
      </w:r>
      <w:proofErr w:type="spellEnd"/>
      <w:r>
        <w:t xml:space="preserve"> y Green, por ejemplo, evitarían que se confundan.</w:t>
      </w:r>
    </w:p>
    <w:p w14:paraId="667E37F8" w14:textId="77777777" w:rsidR="00BE768F" w:rsidRDefault="00164F67" w:rsidP="00D976B5">
      <w:pPr>
        <w:pStyle w:val="Prrafodelista"/>
        <w:numPr>
          <w:ilvl w:val="0"/>
          <w:numId w:val="27"/>
        </w:numPr>
        <w:jc w:val="both"/>
      </w:pPr>
      <w:r>
        <w:t>Incluir números absolutos de votos:</w:t>
      </w:r>
      <w:r w:rsidR="00BE768F">
        <w:t xml:space="preserve"> a</w:t>
      </w:r>
      <w:r>
        <w:t>ñadir un pequeño texto debajo del gráfico de proporción de votos populares con el número exacto de votos para cada partido ayudaría a los usuarios a comprender mejor el impacto de cada partido en relación con el total de votantes.</w:t>
      </w:r>
      <w:r w:rsidR="00BE768F">
        <w:t xml:space="preserve"> </w:t>
      </w:r>
    </w:p>
    <w:p w14:paraId="3EF50762" w14:textId="433C5A85" w:rsidR="00A4428C" w:rsidRDefault="00A4428C" w:rsidP="00A4428C">
      <w:pPr>
        <w:pStyle w:val="Ttulo2"/>
        <w:rPr>
          <w:noProof/>
          <w:sz w:val="32"/>
          <w:szCs w:val="32"/>
        </w:rPr>
      </w:pPr>
      <w:r>
        <w:rPr>
          <w:noProof/>
          <w:sz w:val="32"/>
          <w:szCs w:val="32"/>
        </w:rPr>
        <w:lastRenderedPageBreak/>
        <w:t>GRÁFICO II</w:t>
      </w:r>
    </w:p>
    <w:p w14:paraId="51DF2972" w14:textId="4963FC35" w:rsidR="00A4428C" w:rsidRPr="00A4428C" w:rsidRDefault="00651A59" w:rsidP="00651A59">
      <w:pPr>
        <w:jc w:val="center"/>
      </w:pPr>
      <w:r>
        <w:rPr>
          <w:noProof/>
        </w:rPr>
        <w:drawing>
          <wp:inline distT="0" distB="0" distL="0" distR="0" wp14:anchorId="4E854769" wp14:editId="4D3F8A92">
            <wp:extent cx="5456273" cy="4084320"/>
            <wp:effectExtent l="0" t="0" r="0" b="0"/>
            <wp:docPr id="35208423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0341" cy="4087365"/>
                    </a:xfrm>
                    <a:prstGeom prst="rect">
                      <a:avLst/>
                    </a:prstGeom>
                    <a:noFill/>
                    <a:ln>
                      <a:noFill/>
                    </a:ln>
                  </pic:spPr>
                </pic:pic>
              </a:graphicData>
            </a:graphic>
          </wp:inline>
        </w:drawing>
      </w:r>
    </w:p>
    <w:p w14:paraId="63E7B1B6" w14:textId="77777777" w:rsidR="009B5569" w:rsidRDefault="009B5569" w:rsidP="009B5569">
      <w:pPr>
        <w:jc w:val="both"/>
        <w:rPr>
          <w:b/>
          <w:bCs/>
        </w:rPr>
      </w:pPr>
      <w:r>
        <w:rPr>
          <w:b/>
          <w:bCs/>
        </w:rPr>
        <w:t>Articulo</w:t>
      </w:r>
      <w:r>
        <w:t xml:space="preserve">: </w:t>
      </w:r>
      <w:r w:rsidRPr="00B52EC3">
        <w:rPr>
          <w:lang w:val="es-CL"/>
        </w:rPr>
        <w:t xml:space="preserve">2024 UK general </w:t>
      </w:r>
      <w:proofErr w:type="spellStart"/>
      <w:r w:rsidRPr="00B52EC3">
        <w:rPr>
          <w:lang w:val="es-CL"/>
        </w:rPr>
        <w:t>election</w:t>
      </w:r>
      <w:proofErr w:type="spellEnd"/>
      <w:r w:rsidRPr="00B52EC3">
        <w:rPr>
          <w:lang w:val="es-CL"/>
        </w:rPr>
        <w:t xml:space="preserve"> </w:t>
      </w:r>
      <w:proofErr w:type="spellStart"/>
      <w:r w:rsidRPr="00B52EC3">
        <w:rPr>
          <w:lang w:val="es-CL"/>
        </w:rPr>
        <w:t>results</w:t>
      </w:r>
      <w:proofErr w:type="spellEnd"/>
      <w:r w:rsidRPr="00B52EC3">
        <w:rPr>
          <w:lang w:val="es-CL"/>
        </w:rPr>
        <w:t xml:space="preserve"> in </w:t>
      </w:r>
      <w:proofErr w:type="spellStart"/>
      <w:r w:rsidRPr="00B52EC3">
        <w:rPr>
          <w:lang w:val="es-CL"/>
        </w:rPr>
        <w:t>graphics</w:t>
      </w:r>
      <w:proofErr w:type="spellEnd"/>
      <w:r>
        <w:rPr>
          <w:lang w:val="es-CL"/>
        </w:rPr>
        <w:t>.</w:t>
      </w:r>
    </w:p>
    <w:p w14:paraId="4A998289" w14:textId="77777777" w:rsidR="009B5569" w:rsidRDefault="009B5569" w:rsidP="009B5569">
      <w:r w:rsidRPr="009D1120">
        <w:rPr>
          <w:b/>
          <w:bCs/>
        </w:rPr>
        <w:t>Referencia</w:t>
      </w:r>
      <w:r>
        <w:t xml:space="preserve">: </w:t>
      </w:r>
      <w:hyperlink r:id="rId11" w:history="1">
        <w:r w:rsidRPr="002706EF">
          <w:rPr>
            <w:rStyle w:val="Hipervnculo"/>
          </w:rPr>
          <w:t>https://edition.cnn.com/2024/07/04/uk/uk-election-results-tracker-map-2024-intl/index.html</w:t>
        </w:r>
      </w:hyperlink>
    </w:p>
    <w:p w14:paraId="522D1681" w14:textId="77777777" w:rsidR="00BA43CB" w:rsidRDefault="00BA43CB" w:rsidP="00A4428C">
      <w:pPr>
        <w:jc w:val="both"/>
      </w:pPr>
    </w:p>
    <w:p w14:paraId="0AA6E03C" w14:textId="06FDD04F" w:rsidR="00A4428C" w:rsidRDefault="0079672A" w:rsidP="00A4428C">
      <w:pPr>
        <w:jc w:val="both"/>
      </w:pPr>
      <w:r w:rsidRPr="0079672A">
        <w:t>El gráfico muestra tres mapas hexagonales de las elecciones en el Reino Unido, comparando los resultados de los años 2024, 2019 y 2017.</w:t>
      </w:r>
    </w:p>
    <w:p w14:paraId="17E34FEF" w14:textId="77777777" w:rsidR="003C6811" w:rsidRPr="003C6811" w:rsidRDefault="003C6811" w:rsidP="003C6811">
      <w:pPr>
        <w:jc w:val="both"/>
        <w:rPr>
          <w:b/>
          <w:bCs/>
        </w:rPr>
      </w:pPr>
      <w:r w:rsidRPr="003C6811">
        <w:rPr>
          <w:b/>
          <w:bCs/>
        </w:rPr>
        <w:t>Aspectos Positivos:</w:t>
      </w:r>
    </w:p>
    <w:p w14:paraId="0257BF28" w14:textId="44BD738C" w:rsidR="003C6811" w:rsidRDefault="003C6811" w:rsidP="003C6811">
      <w:pPr>
        <w:pStyle w:val="Prrafodelista"/>
        <w:numPr>
          <w:ilvl w:val="0"/>
          <w:numId w:val="28"/>
        </w:numPr>
        <w:jc w:val="both"/>
      </w:pPr>
      <w:r>
        <w:t>La disposición en paralelo de los tres mapas para los diferentes años facilita una comparación rápida de cómo ha cambiado el panorama político en el Reino Unido entre 2017, 2019 y 2024. La visualización destaca cómo el Partido Laborista (rojo) ha ganado muchos escaños en 2024, mientras que los conservadores (azul) han disminuido.</w:t>
      </w:r>
    </w:p>
    <w:p w14:paraId="684537DE" w14:textId="78BFB51C" w:rsidR="003C6811" w:rsidRDefault="003C6811" w:rsidP="00DF749F">
      <w:pPr>
        <w:pStyle w:val="Prrafodelista"/>
        <w:numPr>
          <w:ilvl w:val="0"/>
          <w:numId w:val="28"/>
        </w:numPr>
        <w:jc w:val="both"/>
      </w:pPr>
      <w:r>
        <w:t>El uso de hexágonos para representar distritos es una excelente elección, ya que crea una cuadrícula ajustada y homogénea que mantiene el equilibrio visual y evita la distorsión de formas geográficas irregulares. Además, al usar hexágonos de tamaño constante, cada distrito tiene el mismo peso visual, lo que ayuda a mitigar los sesgos territoriales</w:t>
      </w:r>
      <w:r w:rsidR="00EE2572">
        <w:t xml:space="preserve">, sobre todo considerando que cada distrito elige </w:t>
      </w:r>
      <w:r w:rsidR="003F6928">
        <w:t>un diputado.</w:t>
      </w:r>
    </w:p>
    <w:p w14:paraId="1EAF4A7F" w14:textId="21C6F7B2" w:rsidR="003C6811" w:rsidRDefault="003C6811" w:rsidP="008222B1">
      <w:pPr>
        <w:pStyle w:val="Prrafodelista"/>
        <w:numPr>
          <w:ilvl w:val="0"/>
          <w:numId w:val="28"/>
        </w:numPr>
        <w:jc w:val="both"/>
      </w:pPr>
      <w:r>
        <w:lastRenderedPageBreak/>
        <w:t xml:space="preserve">Los colores de cada partido están bien diferenciados, y la </w:t>
      </w:r>
      <w:r w:rsidR="007F15F5">
        <w:t>leyenda</w:t>
      </w:r>
      <w:r>
        <w:t xml:space="preserve"> en la parte superior del gráfico permite identificar fácilmente qué partido ha ganado en cada área.</w:t>
      </w:r>
    </w:p>
    <w:p w14:paraId="29C205DD" w14:textId="77777777" w:rsidR="003C6811" w:rsidRDefault="003C6811" w:rsidP="00F70708">
      <w:pPr>
        <w:pStyle w:val="Prrafodelista"/>
        <w:numPr>
          <w:ilvl w:val="0"/>
          <w:numId w:val="28"/>
        </w:numPr>
        <w:jc w:val="both"/>
      </w:pPr>
      <w:r>
        <w:t>La inclusión de una nota en la parte inferior sobre el cambio en los límites de los distritos en 2024 es un buen detalle, ya que proporciona contexto sobre por qué algunas áreas pueden verse diferentes a años anteriores.</w:t>
      </w:r>
    </w:p>
    <w:p w14:paraId="218BAFEB" w14:textId="0049C974" w:rsidR="003C6811" w:rsidRDefault="003C6811" w:rsidP="00F70708">
      <w:pPr>
        <w:pStyle w:val="Prrafodelista"/>
        <w:numPr>
          <w:ilvl w:val="0"/>
          <w:numId w:val="28"/>
        </w:numPr>
        <w:jc w:val="both"/>
      </w:pPr>
      <w:r>
        <w:t>El gráfico en su totalidad es bastante legible, ya que no está saturado con texto innecesario. El foco está en la visualización, y el texto complementario solo está donde es necesario.</w:t>
      </w:r>
    </w:p>
    <w:p w14:paraId="58143EF0" w14:textId="28EEC405" w:rsidR="00A975F6" w:rsidRDefault="00A975F6" w:rsidP="00A975F6">
      <w:pPr>
        <w:pStyle w:val="Prrafodelista"/>
        <w:numPr>
          <w:ilvl w:val="0"/>
          <w:numId w:val="28"/>
        </w:numPr>
        <w:jc w:val="both"/>
      </w:pPr>
      <w:r>
        <w:t xml:space="preserve">El gráfico es interactivo, cuenta con </w:t>
      </w:r>
      <w:proofErr w:type="spellStart"/>
      <w:r>
        <w:t>tooltips</w:t>
      </w:r>
      <w:proofErr w:type="spellEnd"/>
      <w:r>
        <w:t xml:space="preserve"> de cada distrito al seleccionar cada</w:t>
      </w:r>
      <w:r w:rsidR="00486794">
        <w:t xml:space="preserve"> hexágono</w:t>
      </w:r>
      <w:r>
        <w:t>.</w:t>
      </w:r>
    </w:p>
    <w:p w14:paraId="06E88F62" w14:textId="77777777" w:rsidR="003C6811" w:rsidRPr="00876692" w:rsidRDefault="003C6811" w:rsidP="003C6811">
      <w:pPr>
        <w:jc w:val="both"/>
        <w:rPr>
          <w:b/>
          <w:bCs/>
        </w:rPr>
      </w:pPr>
      <w:r w:rsidRPr="00876692">
        <w:rPr>
          <w:b/>
          <w:bCs/>
        </w:rPr>
        <w:t>Aspectos Negativos:</w:t>
      </w:r>
    </w:p>
    <w:p w14:paraId="6D9D80F5" w14:textId="77777777" w:rsidR="00876692" w:rsidRDefault="003C6811" w:rsidP="006B4186">
      <w:pPr>
        <w:pStyle w:val="Prrafodelista"/>
        <w:numPr>
          <w:ilvl w:val="0"/>
          <w:numId w:val="30"/>
        </w:numPr>
        <w:jc w:val="both"/>
      </w:pPr>
      <w:r>
        <w:t>Aunque el gráfico es bueno para observar tendencias generales, carece de detalles específicos sobre qué distritos cambiaron de manos y cuántos escaños ha ganado o perdido cada partido en áreas clave. La visualización no permite saber con precisión dónde ocurrieron los cambios más relevantes.</w:t>
      </w:r>
    </w:p>
    <w:p w14:paraId="0C58E379" w14:textId="524F702C" w:rsidR="00876692" w:rsidRDefault="003C6811" w:rsidP="00876692">
      <w:pPr>
        <w:pStyle w:val="Prrafodelista"/>
        <w:numPr>
          <w:ilvl w:val="0"/>
          <w:numId w:val="30"/>
        </w:numPr>
        <w:jc w:val="both"/>
      </w:pPr>
      <w:r>
        <w:t xml:space="preserve">Aunque los colores de los principales partidos están bien diferenciados, los colores de los partidos menores (como SNP, SF y otros) pueden ser difíciles de distinguir. En particular, el </w:t>
      </w:r>
      <w:r w:rsidR="00E41583">
        <w:t>naranjo</w:t>
      </w:r>
      <w:r>
        <w:t xml:space="preserve"> </w:t>
      </w:r>
      <w:r w:rsidR="00201BBC">
        <w:t>se puede confundir con el rojo en algunos distritos</w:t>
      </w:r>
      <w:r w:rsidR="00ED1A28">
        <w:t xml:space="preserve"> contiguos</w:t>
      </w:r>
      <w:r>
        <w:t>.</w:t>
      </w:r>
    </w:p>
    <w:p w14:paraId="5DE864B7" w14:textId="0E0EA0C1" w:rsidR="003C6811" w:rsidRDefault="003C6811" w:rsidP="0078429D">
      <w:pPr>
        <w:pStyle w:val="Prrafodelista"/>
        <w:numPr>
          <w:ilvl w:val="0"/>
          <w:numId w:val="30"/>
        </w:numPr>
        <w:jc w:val="both"/>
      </w:pPr>
      <w:r>
        <w:t>No hay indicadores que muestren explícitamente qué áreas han cambiado de un partido a otro entre los diferentes años. La incorporación de flechas o puntos de transición podría haber ayudado a visualizar estos cambios de manera más directa.</w:t>
      </w:r>
    </w:p>
    <w:p w14:paraId="78D95897" w14:textId="18AFC1D7" w:rsidR="00620EC1" w:rsidRDefault="00CB2D54" w:rsidP="0078429D">
      <w:pPr>
        <w:pStyle w:val="Prrafodelista"/>
        <w:numPr>
          <w:ilvl w:val="0"/>
          <w:numId w:val="30"/>
        </w:numPr>
        <w:jc w:val="both"/>
      </w:pPr>
      <w:r>
        <w:t>No hay mención de participación por año, e</w:t>
      </w:r>
      <w:r w:rsidR="00C81B08">
        <w:t>sto es relevante para comparar los universos de votantes cada</w:t>
      </w:r>
      <w:r w:rsidR="006B439A">
        <w:t>.</w:t>
      </w:r>
    </w:p>
    <w:p w14:paraId="376CB00D" w14:textId="77777777" w:rsidR="003C6811" w:rsidRPr="00876692" w:rsidRDefault="003C6811" w:rsidP="003C6811">
      <w:pPr>
        <w:jc w:val="both"/>
        <w:rPr>
          <w:b/>
          <w:bCs/>
        </w:rPr>
      </w:pPr>
      <w:r w:rsidRPr="00876692">
        <w:rPr>
          <w:b/>
          <w:bCs/>
        </w:rPr>
        <w:t>Posibles Mejoras:</w:t>
      </w:r>
    </w:p>
    <w:p w14:paraId="193E1C4D" w14:textId="77777777" w:rsidR="00876692" w:rsidRDefault="003C6811" w:rsidP="005F6D89">
      <w:pPr>
        <w:pStyle w:val="Prrafodelista"/>
        <w:numPr>
          <w:ilvl w:val="0"/>
          <w:numId w:val="31"/>
        </w:numPr>
        <w:jc w:val="both"/>
      </w:pPr>
      <w:r>
        <w:t>Sería útil agregar una capa que resalte los distritos que cambiaron de partido entre los diferentes años, como un sombreado o contorno adicional. Esto haría más evidente cómo ha evolucionado el panorama político sin que el usuario tenga que escanear visualmente los tres mapas para detectar diferencias.</w:t>
      </w:r>
    </w:p>
    <w:p w14:paraId="6139ED23" w14:textId="77777777" w:rsidR="00876692" w:rsidRDefault="003C6811" w:rsidP="00876692">
      <w:pPr>
        <w:pStyle w:val="Prrafodelista"/>
        <w:numPr>
          <w:ilvl w:val="0"/>
          <w:numId w:val="31"/>
        </w:numPr>
        <w:jc w:val="both"/>
      </w:pPr>
      <w:r>
        <w:t>Añadir detalles o resúmenes en la parte inferior que indiquen cuántos distritos cambiaron de manos entre los años y a qué partido pasaron. Esto ayudaría a los usuarios a entender rápidamente las tendencias sin tener que deducirlo solo a partir de los colores.</w:t>
      </w:r>
    </w:p>
    <w:p w14:paraId="65AFC0ED" w14:textId="77777777" w:rsidR="00876692" w:rsidRDefault="003C6811" w:rsidP="0090471F">
      <w:pPr>
        <w:pStyle w:val="Prrafodelista"/>
        <w:numPr>
          <w:ilvl w:val="0"/>
          <w:numId w:val="31"/>
        </w:numPr>
        <w:jc w:val="both"/>
      </w:pPr>
      <w:r>
        <w:t>Para los partidos más pequeños, utilizar una paleta de colores más contrastada que asegure que todos los colores sean fácilmente distinguibles, incluso para personas con dificultades de visión.</w:t>
      </w:r>
    </w:p>
    <w:p w14:paraId="36E8F3B9" w14:textId="05D2C8CB" w:rsidR="00026505" w:rsidRDefault="00026505" w:rsidP="00026505">
      <w:pPr>
        <w:pStyle w:val="Prrafodelista"/>
        <w:numPr>
          <w:ilvl w:val="0"/>
          <w:numId w:val="31"/>
        </w:numPr>
        <w:jc w:val="both"/>
      </w:pPr>
      <w:r>
        <w:t xml:space="preserve">Más información en los </w:t>
      </w:r>
      <w:proofErr w:type="spellStart"/>
      <w:r>
        <w:t>tooltips</w:t>
      </w:r>
      <w:proofErr w:type="spellEnd"/>
      <w:r>
        <w:t xml:space="preserve">: en los </w:t>
      </w:r>
      <w:proofErr w:type="spellStart"/>
      <w:r>
        <w:t>tooltips</w:t>
      </w:r>
      <w:proofErr w:type="spellEnd"/>
      <w:r>
        <w:t xml:space="preserve"> se podría añadir un poco más de información como votos totales y porcentaje de votos.</w:t>
      </w:r>
    </w:p>
    <w:p w14:paraId="2E8BBA5E" w14:textId="41CEC1C3" w:rsidR="00CE7A4E" w:rsidRDefault="00CE7A4E" w:rsidP="00B3039F">
      <w:pPr>
        <w:pStyle w:val="Prrafodelista"/>
        <w:numPr>
          <w:ilvl w:val="0"/>
          <w:numId w:val="31"/>
        </w:numPr>
        <w:jc w:val="both"/>
      </w:pPr>
      <w:r>
        <w:t xml:space="preserve">Agregar el porcentaje de participación por año </w:t>
      </w:r>
      <w:r w:rsidR="002B05E3">
        <w:t>podría ser</w:t>
      </w:r>
      <w:r>
        <w:t xml:space="preserve"> información adicional útil</w:t>
      </w:r>
      <w:r w:rsidR="002B05E3">
        <w:t xml:space="preserve">. </w:t>
      </w:r>
      <w:r w:rsidR="00B3039F">
        <w:t>Por lo mismo podría estar en gris (como en el gráfico anterior) para no distraer.</w:t>
      </w:r>
    </w:p>
    <w:p w14:paraId="0CDCD663" w14:textId="0462845F" w:rsidR="005E07CA" w:rsidRDefault="005E07CA" w:rsidP="005E07CA">
      <w:pPr>
        <w:pStyle w:val="Ttulo2"/>
        <w:rPr>
          <w:noProof/>
          <w:sz w:val="32"/>
          <w:szCs w:val="32"/>
        </w:rPr>
      </w:pPr>
      <w:r>
        <w:rPr>
          <w:noProof/>
          <w:sz w:val="32"/>
          <w:szCs w:val="32"/>
        </w:rPr>
        <w:lastRenderedPageBreak/>
        <w:t>GRÁFICO III</w:t>
      </w:r>
    </w:p>
    <w:p w14:paraId="7BE4C25B" w14:textId="1F19603B" w:rsidR="00F72AAB" w:rsidRPr="00F72AAB" w:rsidRDefault="00406B22" w:rsidP="00F72AAB">
      <w:r w:rsidRPr="00406B22">
        <w:rPr>
          <w:noProof/>
        </w:rPr>
        <w:drawing>
          <wp:inline distT="0" distB="0" distL="0" distR="0" wp14:anchorId="2B8D898E" wp14:editId="0D5569A9">
            <wp:extent cx="5274310" cy="3808730"/>
            <wp:effectExtent l="0" t="0" r="2540" b="1270"/>
            <wp:docPr id="1806766805"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766805" name="Imagen 1" descr="Gráfico, Gráfico de líneas&#10;&#10;Descripción generada automáticamente"/>
                    <pic:cNvPicPr/>
                  </pic:nvPicPr>
                  <pic:blipFill>
                    <a:blip r:embed="rId12"/>
                    <a:stretch>
                      <a:fillRect/>
                    </a:stretch>
                  </pic:blipFill>
                  <pic:spPr>
                    <a:xfrm>
                      <a:off x="0" y="0"/>
                      <a:ext cx="5274310" cy="3808730"/>
                    </a:xfrm>
                    <a:prstGeom prst="rect">
                      <a:avLst/>
                    </a:prstGeom>
                  </pic:spPr>
                </pic:pic>
              </a:graphicData>
            </a:graphic>
          </wp:inline>
        </w:drawing>
      </w:r>
    </w:p>
    <w:p w14:paraId="75898A59" w14:textId="77777777" w:rsidR="009B5569" w:rsidRPr="004C2CC9" w:rsidRDefault="009B5569" w:rsidP="009B5569">
      <w:pPr>
        <w:jc w:val="both"/>
        <w:rPr>
          <w:lang w:val="es-CL"/>
        </w:rPr>
      </w:pPr>
      <w:r w:rsidRPr="004C2CC9">
        <w:rPr>
          <w:b/>
          <w:bCs/>
        </w:rPr>
        <w:t>Estudio:</w:t>
      </w:r>
      <w:r>
        <w:t xml:space="preserve"> </w:t>
      </w:r>
      <w:r w:rsidRPr="004C2CC9">
        <w:rPr>
          <w:lang w:val="es-CL"/>
        </w:rPr>
        <w:t>Umbrales electorales y</w:t>
      </w:r>
      <w:r>
        <w:rPr>
          <w:lang w:val="es-CL"/>
        </w:rPr>
        <w:t xml:space="preserve"> </w:t>
      </w:r>
      <w:r w:rsidRPr="004C2CC9">
        <w:rPr>
          <w:lang w:val="es-CL"/>
        </w:rPr>
        <w:t>fragmentación parlamentaria:</w:t>
      </w:r>
      <w:r>
        <w:rPr>
          <w:lang w:val="es-CL"/>
        </w:rPr>
        <w:t xml:space="preserve"> </w:t>
      </w:r>
      <w:r w:rsidRPr="004C2CC9">
        <w:rPr>
          <w:lang w:val="es-CL"/>
        </w:rPr>
        <w:t>mito y realidad</w:t>
      </w:r>
      <w:r>
        <w:rPr>
          <w:lang w:val="es-CL"/>
        </w:rPr>
        <w:t xml:space="preserve"> (</w:t>
      </w:r>
      <w:proofErr w:type="gramStart"/>
      <w:r>
        <w:rPr>
          <w:lang w:val="es-CL"/>
        </w:rPr>
        <w:t>Agosto</w:t>
      </w:r>
      <w:proofErr w:type="gramEnd"/>
      <w:r>
        <w:rPr>
          <w:lang w:val="es-CL"/>
        </w:rPr>
        <w:t xml:space="preserve"> 2024).</w:t>
      </w:r>
    </w:p>
    <w:p w14:paraId="123A4799" w14:textId="59469616" w:rsidR="004C7E72" w:rsidRDefault="004C7E72" w:rsidP="004D632C">
      <w:r w:rsidRPr="009D1120">
        <w:rPr>
          <w:b/>
          <w:bCs/>
        </w:rPr>
        <w:t>Referencia</w:t>
      </w:r>
      <w:r>
        <w:t>:</w:t>
      </w:r>
      <w:r w:rsidR="001110EC">
        <w:t xml:space="preserve"> </w:t>
      </w:r>
      <w:hyperlink r:id="rId13" w:history="1">
        <w:r w:rsidR="001110EC" w:rsidRPr="002706EF">
          <w:rPr>
            <w:rStyle w:val="Hipervnculo"/>
          </w:rPr>
          <w:t>https://static.cepchile.cl/uploads/cepchile/2024/08/14161217_xyat_703_garcia-huidobro.pdf</w:t>
        </w:r>
      </w:hyperlink>
    </w:p>
    <w:p w14:paraId="0BBEEE8E" w14:textId="77777777" w:rsidR="007D64DC" w:rsidRDefault="007D64DC" w:rsidP="005E07CA">
      <w:pPr>
        <w:jc w:val="both"/>
      </w:pPr>
    </w:p>
    <w:p w14:paraId="2D115454" w14:textId="2BD0FE77" w:rsidR="005E07CA" w:rsidRDefault="000A71FC" w:rsidP="005E07CA">
      <w:pPr>
        <w:jc w:val="both"/>
      </w:pPr>
      <w:r w:rsidRPr="000A71FC">
        <w:t>El gráfico muestra la confianza en los partidos políticos y el Congreso en un rango de tiempo desde 2008 hasta 2024, a través de una línea temporal con puntos que indican la confianza reportada en distintos momentos.</w:t>
      </w:r>
    </w:p>
    <w:p w14:paraId="33F0CC22" w14:textId="77777777" w:rsidR="00420ABE" w:rsidRPr="00420ABE" w:rsidRDefault="00420ABE" w:rsidP="00420ABE">
      <w:pPr>
        <w:jc w:val="both"/>
        <w:rPr>
          <w:b/>
          <w:bCs/>
        </w:rPr>
      </w:pPr>
      <w:r w:rsidRPr="00420ABE">
        <w:rPr>
          <w:b/>
          <w:bCs/>
        </w:rPr>
        <w:t>Aspectos Positivos:</w:t>
      </w:r>
    </w:p>
    <w:p w14:paraId="63CC9131" w14:textId="55866615" w:rsidR="00185B2F" w:rsidRPr="00185B2F" w:rsidRDefault="00185B2F" w:rsidP="00185B2F">
      <w:pPr>
        <w:pStyle w:val="Prrafodelista"/>
        <w:numPr>
          <w:ilvl w:val="0"/>
          <w:numId w:val="32"/>
        </w:numPr>
        <w:jc w:val="both"/>
      </w:pPr>
      <w:r w:rsidRPr="00185B2F">
        <w:t xml:space="preserve">El gráfico es simple y directo, lo que permite entender fácilmente la tendencia de la confianza en los partidos políticos y el Congreso. </w:t>
      </w:r>
    </w:p>
    <w:p w14:paraId="0053DA6D" w14:textId="4FFACE63" w:rsidR="00420ABE" w:rsidRDefault="00420ABE" w:rsidP="00420ABE">
      <w:pPr>
        <w:pStyle w:val="Prrafodelista"/>
        <w:numPr>
          <w:ilvl w:val="0"/>
          <w:numId w:val="32"/>
        </w:numPr>
        <w:jc w:val="both"/>
      </w:pPr>
      <w:r>
        <w:t>El uso de una línea temporal permite visualizar tendencias y cambios en la confianza a lo largo de los años. Esto facilita seguir cómo han evolucionado las percepciones públicas respecto a estas instituciones.</w:t>
      </w:r>
    </w:p>
    <w:p w14:paraId="698FCFAC" w14:textId="77777777" w:rsidR="00716EA1" w:rsidRDefault="00420ABE" w:rsidP="007124FA">
      <w:pPr>
        <w:pStyle w:val="Prrafodelista"/>
        <w:numPr>
          <w:ilvl w:val="0"/>
          <w:numId w:val="32"/>
        </w:numPr>
        <w:jc w:val="both"/>
      </w:pPr>
      <w:r>
        <w:t>La elección de dos colores distintos para representar los partidos políticos y el Congreso es efectiva. Los colores son suficientemente contrastantes para</w:t>
      </w:r>
      <w:r w:rsidR="000351C8">
        <w:t xml:space="preserve"> </w:t>
      </w:r>
      <w:r>
        <w:t>diferenciar fácilmente las dos categorías sin causar confusión.</w:t>
      </w:r>
    </w:p>
    <w:p w14:paraId="29202F3F" w14:textId="617BE868" w:rsidR="000351C8" w:rsidRPr="000351C8" w:rsidRDefault="000351C8" w:rsidP="007124FA">
      <w:pPr>
        <w:pStyle w:val="Prrafodelista"/>
        <w:numPr>
          <w:ilvl w:val="0"/>
          <w:numId w:val="32"/>
        </w:numPr>
        <w:jc w:val="both"/>
      </w:pPr>
      <w:r w:rsidRPr="000351C8">
        <w:lastRenderedPageBreak/>
        <w:t>Las notas al pie proporcionan información adicional relevante sobre la fuente de los datos y las peculiaridades en la medición de ciertos años, lo que añade contexto importante para interpretar el gráfico.</w:t>
      </w:r>
    </w:p>
    <w:p w14:paraId="5435DCBF" w14:textId="77777777" w:rsidR="00420ABE" w:rsidRPr="00B60AE7" w:rsidRDefault="00420ABE" w:rsidP="00420ABE">
      <w:pPr>
        <w:jc w:val="both"/>
        <w:rPr>
          <w:b/>
          <w:bCs/>
        </w:rPr>
      </w:pPr>
      <w:r w:rsidRPr="00B60AE7">
        <w:rPr>
          <w:b/>
          <w:bCs/>
        </w:rPr>
        <w:t>Aspectos Negativos:</w:t>
      </w:r>
    </w:p>
    <w:p w14:paraId="12F618B7" w14:textId="0A914595" w:rsidR="00C91768" w:rsidRDefault="00424B10" w:rsidP="00B60AE7">
      <w:pPr>
        <w:pStyle w:val="Prrafodelista"/>
        <w:numPr>
          <w:ilvl w:val="0"/>
          <w:numId w:val="33"/>
        </w:numPr>
        <w:jc w:val="both"/>
      </w:pPr>
      <w:r>
        <w:t>El eje vertical de 0% a 100% hace que se pierda el detalle</w:t>
      </w:r>
      <w:r w:rsidR="005A5F04">
        <w:t xml:space="preserve"> de las variaciones </w:t>
      </w:r>
      <w:r w:rsidR="00E658A7">
        <w:t>en el indicador de confianza utilizado.</w:t>
      </w:r>
    </w:p>
    <w:p w14:paraId="3434DDF6" w14:textId="74FFB76A" w:rsidR="00E658A7" w:rsidRDefault="00E658A7" w:rsidP="00B60AE7">
      <w:pPr>
        <w:pStyle w:val="Prrafodelista"/>
        <w:numPr>
          <w:ilvl w:val="0"/>
          <w:numId w:val="33"/>
        </w:numPr>
        <w:jc w:val="both"/>
      </w:pPr>
      <w:r>
        <w:t xml:space="preserve">Aunque se pueda intuir </w:t>
      </w:r>
      <w:r w:rsidR="00FF5BD3">
        <w:t xml:space="preserve">lo que mide cada eje, no están claramente identificados, lo que podría </w:t>
      </w:r>
      <w:r w:rsidR="005D2A88">
        <w:t>influir en malas interpretaciones en los datos.</w:t>
      </w:r>
    </w:p>
    <w:p w14:paraId="11531839" w14:textId="711A2479" w:rsidR="00B60AE7" w:rsidRDefault="00420ABE" w:rsidP="00B60AE7">
      <w:pPr>
        <w:pStyle w:val="Prrafodelista"/>
        <w:numPr>
          <w:ilvl w:val="0"/>
          <w:numId w:val="33"/>
        </w:numPr>
        <w:jc w:val="both"/>
      </w:pPr>
      <w:r>
        <w:t>Los puntos de datos son relativamente pocos y están muy espaciados en el tiempo, lo que puede dificultar la identificación de tendencias a corto plazo o cambios menos abruptos entre los años marcados.</w:t>
      </w:r>
    </w:p>
    <w:p w14:paraId="308FE2C0" w14:textId="77777777" w:rsidR="00B85207" w:rsidRPr="00B85207" w:rsidRDefault="00420ABE" w:rsidP="004C6C2A">
      <w:pPr>
        <w:pStyle w:val="Prrafodelista"/>
        <w:numPr>
          <w:ilvl w:val="0"/>
          <w:numId w:val="39"/>
        </w:numPr>
        <w:jc w:val="both"/>
        <w:rPr>
          <w:lang w:val="es-CL"/>
        </w:rPr>
      </w:pPr>
      <w:r>
        <w:t>No hay información contextual que explique qué eventos o circunstancias podrían haber influido en los cambios de confianza observados</w:t>
      </w:r>
      <w:r w:rsidR="00E056EB">
        <w:t>.</w:t>
      </w:r>
    </w:p>
    <w:p w14:paraId="291CC299" w14:textId="163D4D80" w:rsidR="00602C5E" w:rsidRDefault="00484C55" w:rsidP="00602C5E">
      <w:pPr>
        <w:pStyle w:val="Prrafodelista"/>
        <w:numPr>
          <w:ilvl w:val="0"/>
          <w:numId w:val="39"/>
        </w:numPr>
        <w:jc w:val="both"/>
        <w:rPr>
          <w:lang w:val="es-CL"/>
        </w:rPr>
      </w:pPr>
      <w:r w:rsidRPr="00B85207">
        <w:rPr>
          <w:lang w:val="es-CL"/>
        </w:rPr>
        <w:t xml:space="preserve">Mientras que el gráfico tiene marcados los años, no hay </w:t>
      </w:r>
      <w:r w:rsidR="00792136">
        <w:rPr>
          <w:lang w:val="es-CL"/>
        </w:rPr>
        <w:t xml:space="preserve">una clara </w:t>
      </w:r>
      <w:r w:rsidRPr="00B85207">
        <w:rPr>
          <w:lang w:val="es-CL"/>
        </w:rPr>
        <w:t>indicación de los meses en todos los puntos, lo cual podría llevar a una interpretación inexacta de cuándo se tomaron exactamente las medidas. Esto podría ser relevante si hubo eventos políticos significativos que pudieran haber influenciado la confianza.</w:t>
      </w:r>
    </w:p>
    <w:p w14:paraId="4EF50B85" w14:textId="77777777" w:rsidR="006E3EDA" w:rsidRDefault="00484C55" w:rsidP="006E3EDA">
      <w:pPr>
        <w:pStyle w:val="Prrafodelista"/>
        <w:numPr>
          <w:ilvl w:val="0"/>
          <w:numId w:val="39"/>
        </w:numPr>
        <w:jc w:val="both"/>
        <w:rPr>
          <w:lang w:val="es-CL"/>
        </w:rPr>
      </w:pPr>
      <w:r w:rsidRPr="00484C55">
        <w:rPr>
          <w:lang w:val="es-CL"/>
        </w:rPr>
        <w:t>No hay etiquetas que muestren los valores exactos en cada punto, lo que obliga a los usuarios a estimar visualmente estos valores. Las etiquetas en los puntos más críticos podrían mejorar la precisión en la interpretación de los datos.</w:t>
      </w:r>
    </w:p>
    <w:p w14:paraId="591A85E3" w14:textId="28C9031F" w:rsidR="00484C55" w:rsidRPr="00484C55" w:rsidRDefault="00F749BD" w:rsidP="006E3EDA">
      <w:pPr>
        <w:pStyle w:val="Prrafodelista"/>
        <w:numPr>
          <w:ilvl w:val="0"/>
          <w:numId w:val="39"/>
        </w:numPr>
        <w:jc w:val="both"/>
        <w:rPr>
          <w:lang w:val="es-CL"/>
        </w:rPr>
      </w:pPr>
      <w:r>
        <w:rPr>
          <w:lang w:val="es-CL"/>
        </w:rPr>
        <w:t xml:space="preserve">Las marcas </w:t>
      </w:r>
      <w:r w:rsidR="00E0135A">
        <w:rPr>
          <w:lang w:val="es-CL"/>
        </w:rPr>
        <w:t>que representan los datos no aportan información útil</w:t>
      </w:r>
      <w:r w:rsidR="00BF46C0">
        <w:rPr>
          <w:lang w:val="es-CL"/>
        </w:rPr>
        <w:t xml:space="preserve"> en la visualización, sólo están de manera decorativa</w:t>
      </w:r>
      <w:r w:rsidR="006E3EDA">
        <w:rPr>
          <w:lang w:val="es-CL"/>
        </w:rPr>
        <w:t>.</w:t>
      </w:r>
    </w:p>
    <w:p w14:paraId="3122A469" w14:textId="77777777" w:rsidR="00420ABE" w:rsidRPr="00B60AE7" w:rsidRDefault="00420ABE" w:rsidP="00420ABE">
      <w:pPr>
        <w:jc w:val="both"/>
        <w:rPr>
          <w:b/>
          <w:bCs/>
        </w:rPr>
      </w:pPr>
      <w:r w:rsidRPr="00B60AE7">
        <w:rPr>
          <w:b/>
          <w:bCs/>
        </w:rPr>
        <w:t>Posibles Mejoras:</w:t>
      </w:r>
    </w:p>
    <w:p w14:paraId="230FCCA5" w14:textId="03E92E21" w:rsidR="00B60AE7" w:rsidRDefault="00EC1555" w:rsidP="00E74100">
      <w:pPr>
        <w:pStyle w:val="Prrafodelista"/>
        <w:numPr>
          <w:ilvl w:val="0"/>
          <w:numId w:val="34"/>
        </w:numPr>
        <w:jc w:val="both"/>
      </w:pPr>
      <w:r>
        <w:t xml:space="preserve">Agregar anotaciones: </w:t>
      </w:r>
      <w:r w:rsidR="00420ABE">
        <w:t>para eventos políticos significativos o cambios legislativos podría proporcionar un contexto valioso que explique por qué la confianza aumenta o disminuye en ciertos periodos.</w:t>
      </w:r>
    </w:p>
    <w:p w14:paraId="29B77563" w14:textId="576287E5" w:rsidR="000A71FC" w:rsidRDefault="00420ABE" w:rsidP="00E74100">
      <w:pPr>
        <w:pStyle w:val="Prrafodelista"/>
        <w:numPr>
          <w:ilvl w:val="0"/>
          <w:numId w:val="34"/>
        </w:numPr>
        <w:jc w:val="both"/>
      </w:pPr>
      <w:r>
        <w:t>Introducir una tercera variable</w:t>
      </w:r>
      <w:r w:rsidR="007035CB">
        <w:t>:</w:t>
      </w:r>
      <w:r>
        <w:t xml:space="preserve"> como la aprobación del presidente o índices económicos, podría proporcionar una comparación adicional que ayude a analizar si hay correlaciones entre la confianza en el Congreso/partidos políticos y otros factores de influencia en la sociedad.</w:t>
      </w:r>
    </w:p>
    <w:p w14:paraId="128A9530" w14:textId="3B31A614" w:rsidR="007035CB" w:rsidRDefault="001D3C98" w:rsidP="00E74100">
      <w:pPr>
        <w:pStyle w:val="Prrafodelista"/>
        <w:numPr>
          <w:ilvl w:val="0"/>
          <w:numId w:val="34"/>
        </w:numPr>
        <w:jc w:val="both"/>
      </w:pPr>
      <w:r>
        <w:t xml:space="preserve">Mejorar la división del eje horizontal: </w:t>
      </w:r>
      <w:r w:rsidR="004C5D46">
        <w:t>separando el eje en meses y años equidistantes</w:t>
      </w:r>
      <w:r w:rsidR="00C91768">
        <w:t xml:space="preserve"> para no malinterpretar la visualización de tendencias.</w:t>
      </w:r>
    </w:p>
    <w:p w14:paraId="77A99BBE" w14:textId="77777777" w:rsidR="00434310" w:rsidRDefault="00C467CA" w:rsidP="00434310">
      <w:pPr>
        <w:pStyle w:val="Prrafodelista"/>
        <w:numPr>
          <w:ilvl w:val="0"/>
          <w:numId w:val="34"/>
        </w:numPr>
        <w:jc w:val="both"/>
      </w:pPr>
      <w:r>
        <w:t>Disminuir el rango del eje vertical</w:t>
      </w:r>
      <w:r w:rsidR="00410B89">
        <w:t>: de 0% a 40% (por ejemplo)</w:t>
      </w:r>
      <w:r w:rsidR="008163E8">
        <w:t xml:space="preserve"> para poder visualizar mejor los detalles en las variaciones.</w:t>
      </w:r>
    </w:p>
    <w:p w14:paraId="66B47DD7" w14:textId="72BA7F11" w:rsidR="00484C55" w:rsidRPr="009D553F" w:rsidRDefault="00484C55" w:rsidP="00434310">
      <w:pPr>
        <w:pStyle w:val="Prrafodelista"/>
        <w:numPr>
          <w:ilvl w:val="0"/>
          <w:numId w:val="34"/>
        </w:numPr>
        <w:jc w:val="both"/>
      </w:pPr>
      <w:r w:rsidRPr="009D553F">
        <w:t>Añadir etiquetas numéricas en los puntos de datos podría proporcionar claridad sin necesidad de estimaciones visuales.</w:t>
      </w:r>
    </w:p>
    <w:p w14:paraId="530F7C55" w14:textId="77777777" w:rsidR="00484C55" w:rsidRPr="009D553F" w:rsidRDefault="00484C55" w:rsidP="009D553F">
      <w:pPr>
        <w:pStyle w:val="Prrafodelista"/>
        <w:numPr>
          <w:ilvl w:val="0"/>
          <w:numId w:val="34"/>
        </w:numPr>
        <w:jc w:val="both"/>
      </w:pPr>
      <w:r w:rsidRPr="009D553F">
        <w:t>Incluir líneas de tendencia podría ayudar a visualizar mejor la dirección general de la confianza en los partidos políticos y el Congreso a lo largo de los años, especialmente si las fluctuaciones son pequeñas y menos perceptibles.</w:t>
      </w:r>
    </w:p>
    <w:sectPr w:rsidR="00484C55" w:rsidRPr="009D553F" w:rsidSect="0089714F">
      <w:footerReference w:type="default" r:id="rId14"/>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79D9E3" w14:textId="77777777" w:rsidR="00BD5ADD" w:rsidRDefault="00BD5ADD" w:rsidP="00C6554A">
      <w:pPr>
        <w:spacing w:before="0" w:after="0" w:line="240" w:lineRule="auto"/>
      </w:pPr>
      <w:r>
        <w:separator/>
      </w:r>
    </w:p>
  </w:endnote>
  <w:endnote w:type="continuationSeparator" w:id="0">
    <w:p w14:paraId="7EC2AB34" w14:textId="77777777" w:rsidR="00BD5ADD" w:rsidRDefault="00BD5AD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C08A5" w14:textId="77777777" w:rsidR="00616B79" w:rsidRDefault="00ED7C44">
    <w:pPr>
      <w:pStyle w:val="Piedepgina"/>
      <w:rPr>
        <w:noProof/>
      </w:rPr>
    </w:pPr>
    <w:r>
      <w:rPr>
        <w:noProof/>
        <w:lang w:bidi="es-ES"/>
      </w:rPr>
      <w:t xml:space="preserve">Página </w:t>
    </w:r>
    <w:r>
      <w:rPr>
        <w:noProof/>
        <w:lang w:bidi="es-ES"/>
      </w:rPr>
      <w:fldChar w:fldCharType="begin"/>
    </w:r>
    <w:r>
      <w:rPr>
        <w:noProof/>
        <w:lang w:bidi="es-ES"/>
      </w:rPr>
      <w:instrText xml:space="preserve"> PAGE  \* Arabic  \* MERGEFORMAT </w:instrText>
    </w:r>
    <w:r>
      <w:rPr>
        <w:noProof/>
        <w:lang w:bidi="es-ES"/>
      </w:rPr>
      <w:fldChar w:fldCharType="separate"/>
    </w:r>
    <w:r w:rsidR="0089714F">
      <w:rPr>
        <w:noProof/>
        <w:lang w:bidi="es-ES"/>
      </w:rPr>
      <w:t>1</w:t>
    </w:r>
    <w:r>
      <w:rPr>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42A910" w14:textId="77777777" w:rsidR="00BD5ADD" w:rsidRDefault="00BD5ADD" w:rsidP="00C6554A">
      <w:pPr>
        <w:spacing w:before="0" w:after="0" w:line="240" w:lineRule="auto"/>
      </w:pPr>
      <w:r>
        <w:separator/>
      </w:r>
    </w:p>
  </w:footnote>
  <w:footnote w:type="continuationSeparator" w:id="0">
    <w:p w14:paraId="74C48A49" w14:textId="77777777" w:rsidR="00BD5ADD" w:rsidRDefault="00BD5AD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340A0001"/>
    <w:lvl w:ilvl="0">
      <w:start w:val="1"/>
      <w:numFmt w:val="bullet"/>
      <w:lvlText w:val=""/>
      <w:lvlJc w:val="left"/>
      <w:pPr>
        <w:ind w:left="720" w:hanging="360"/>
      </w:pPr>
      <w:rPr>
        <w:rFonts w:ascii="Symbol" w:hAnsi="Symbol" w:hint="default"/>
        <w:color w:val="0D0D0D" w:themeColor="text1" w:themeTint="F2"/>
      </w:rPr>
    </w:lvl>
  </w:abstractNum>
  <w:abstractNum w:abstractNumId="10" w15:restartNumberingAfterBreak="0">
    <w:nsid w:val="00183F5F"/>
    <w:multiLevelType w:val="hybridMultilevel"/>
    <w:tmpl w:val="E31AED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2151E22"/>
    <w:multiLevelType w:val="hybridMultilevel"/>
    <w:tmpl w:val="6B9218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F277E39"/>
    <w:multiLevelType w:val="hybridMultilevel"/>
    <w:tmpl w:val="8A0A1AF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123A6F40"/>
    <w:multiLevelType w:val="hybridMultilevel"/>
    <w:tmpl w:val="947246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1BED04A1"/>
    <w:multiLevelType w:val="hybridMultilevel"/>
    <w:tmpl w:val="AC084B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1E7528E5"/>
    <w:multiLevelType w:val="hybridMultilevel"/>
    <w:tmpl w:val="292E2F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0977767"/>
    <w:multiLevelType w:val="hybridMultilevel"/>
    <w:tmpl w:val="D32AAB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257B0718"/>
    <w:multiLevelType w:val="multilevel"/>
    <w:tmpl w:val="9D94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250A5E"/>
    <w:multiLevelType w:val="multilevel"/>
    <w:tmpl w:val="B148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BB38DA"/>
    <w:multiLevelType w:val="hybridMultilevel"/>
    <w:tmpl w:val="62A6D5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3B6269ED"/>
    <w:multiLevelType w:val="hybridMultilevel"/>
    <w:tmpl w:val="D304C9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3D67624F"/>
    <w:multiLevelType w:val="hybridMultilevel"/>
    <w:tmpl w:val="863AD5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455A5C6C"/>
    <w:multiLevelType w:val="hybridMultilevel"/>
    <w:tmpl w:val="B74454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BE01640"/>
    <w:multiLevelType w:val="hybridMultilevel"/>
    <w:tmpl w:val="96107F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4E2D6451"/>
    <w:multiLevelType w:val="hybridMultilevel"/>
    <w:tmpl w:val="66B2301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8" w15:restartNumberingAfterBreak="0">
    <w:nsid w:val="54FA3974"/>
    <w:multiLevelType w:val="multilevel"/>
    <w:tmpl w:val="9362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700267"/>
    <w:multiLevelType w:val="multilevel"/>
    <w:tmpl w:val="A71E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9C2C7F"/>
    <w:multiLevelType w:val="multilevel"/>
    <w:tmpl w:val="5D30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264820"/>
    <w:multiLevelType w:val="multilevel"/>
    <w:tmpl w:val="8626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162A5B"/>
    <w:multiLevelType w:val="hybridMultilevel"/>
    <w:tmpl w:val="68B8DB0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5C601726"/>
    <w:multiLevelType w:val="multilevel"/>
    <w:tmpl w:val="8968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374465"/>
    <w:multiLevelType w:val="hybridMultilevel"/>
    <w:tmpl w:val="2BF826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9522B44"/>
    <w:multiLevelType w:val="multilevel"/>
    <w:tmpl w:val="1DEA0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1D1182"/>
    <w:multiLevelType w:val="hybridMultilevel"/>
    <w:tmpl w:val="CA3AAB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6BE17A2"/>
    <w:multiLevelType w:val="multilevel"/>
    <w:tmpl w:val="B12E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692810"/>
    <w:multiLevelType w:val="hybridMultilevel"/>
    <w:tmpl w:val="4B1033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7D591A07"/>
    <w:multiLevelType w:val="hybridMultilevel"/>
    <w:tmpl w:val="81D42A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17225403">
    <w:abstractNumId w:val="9"/>
  </w:num>
  <w:num w:numId="2" w16cid:durableId="1251043415">
    <w:abstractNumId w:val="8"/>
  </w:num>
  <w:num w:numId="3" w16cid:durableId="1691566835">
    <w:abstractNumId w:val="8"/>
  </w:num>
  <w:num w:numId="4" w16cid:durableId="284429247">
    <w:abstractNumId w:val="9"/>
  </w:num>
  <w:num w:numId="5" w16cid:durableId="1405763077">
    <w:abstractNumId w:val="25"/>
  </w:num>
  <w:num w:numId="6" w16cid:durableId="543372779">
    <w:abstractNumId w:val="11"/>
  </w:num>
  <w:num w:numId="7" w16cid:durableId="1268270399">
    <w:abstractNumId w:val="13"/>
  </w:num>
  <w:num w:numId="8" w16cid:durableId="1216045689">
    <w:abstractNumId w:val="7"/>
  </w:num>
  <w:num w:numId="9" w16cid:durableId="314182375">
    <w:abstractNumId w:val="6"/>
  </w:num>
  <w:num w:numId="10" w16cid:durableId="683242033">
    <w:abstractNumId w:val="5"/>
  </w:num>
  <w:num w:numId="11" w16cid:durableId="1057581686">
    <w:abstractNumId w:val="4"/>
  </w:num>
  <w:num w:numId="12" w16cid:durableId="117144320">
    <w:abstractNumId w:val="3"/>
  </w:num>
  <w:num w:numId="13" w16cid:durableId="428281817">
    <w:abstractNumId w:val="2"/>
  </w:num>
  <w:num w:numId="14" w16cid:durableId="1031149320">
    <w:abstractNumId w:val="1"/>
  </w:num>
  <w:num w:numId="15" w16cid:durableId="1227688805">
    <w:abstractNumId w:val="0"/>
  </w:num>
  <w:num w:numId="16" w16cid:durableId="1004361649">
    <w:abstractNumId w:val="32"/>
  </w:num>
  <w:num w:numId="17" w16cid:durableId="862018686">
    <w:abstractNumId w:val="18"/>
  </w:num>
  <w:num w:numId="18" w16cid:durableId="50737248">
    <w:abstractNumId w:val="16"/>
  </w:num>
  <w:num w:numId="19" w16cid:durableId="198861930">
    <w:abstractNumId w:val="10"/>
  </w:num>
  <w:num w:numId="20" w16cid:durableId="1828475393">
    <w:abstractNumId w:val="23"/>
  </w:num>
  <w:num w:numId="21" w16cid:durableId="1086339621">
    <w:abstractNumId w:val="27"/>
  </w:num>
  <w:num w:numId="22" w16cid:durableId="1820027000">
    <w:abstractNumId w:val="17"/>
  </w:num>
  <w:num w:numId="23" w16cid:durableId="1524979511">
    <w:abstractNumId w:val="14"/>
  </w:num>
  <w:num w:numId="24" w16cid:durableId="1593515274">
    <w:abstractNumId w:val="29"/>
  </w:num>
  <w:num w:numId="25" w16cid:durableId="1820077228">
    <w:abstractNumId w:val="38"/>
  </w:num>
  <w:num w:numId="26" w16cid:durableId="2090541343">
    <w:abstractNumId w:val="34"/>
  </w:num>
  <w:num w:numId="27" w16cid:durableId="480389459">
    <w:abstractNumId w:val="39"/>
  </w:num>
  <w:num w:numId="28" w16cid:durableId="602418061">
    <w:abstractNumId w:val="36"/>
  </w:num>
  <w:num w:numId="29" w16cid:durableId="942808332">
    <w:abstractNumId w:val="12"/>
  </w:num>
  <w:num w:numId="30" w16cid:durableId="30107289">
    <w:abstractNumId w:val="24"/>
  </w:num>
  <w:num w:numId="31" w16cid:durableId="538083161">
    <w:abstractNumId w:val="26"/>
  </w:num>
  <w:num w:numId="32" w16cid:durableId="409931233">
    <w:abstractNumId w:val="21"/>
  </w:num>
  <w:num w:numId="33" w16cid:durableId="3216615">
    <w:abstractNumId w:val="15"/>
  </w:num>
  <w:num w:numId="34" w16cid:durableId="1063215868">
    <w:abstractNumId w:val="22"/>
  </w:num>
  <w:num w:numId="35" w16cid:durableId="608588620">
    <w:abstractNumId w:val="37"/>
  </w:num>
  <w:num w:numId="36" w16cid:durableId="773745076">
    <w:abstractNumId w:val="30"/>
  </w:num>
  <w:num w:numId="37" w16cid:durableId="159348998">
    <w:abstractNumId w:val="33"/>
  </w:num>
  <w:num w:numId="38" w16cid:durableId="139545487">
    <w:abstractNumId w:val="19"/>
  </w:num>
  <w:num w:numId="39" w16cid:durableId="1260211900">
    <w:abstractNumId w:val="31"/>
  </w:num>
  <w:num w:numId="40" w16cid:durableId="26759140">
    <w:abstractNumId w:val="28"/>
  </w:num>
  <w:num w:numId="41" w16cid:durableId="1634208647">
    <w:abstractNumId w:val="20"/>
  </w:num>
  <w:num w:numId="42" w16cid:durableId="153145735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875"/>
    <w:rsid w:val="00012DEA"/>
    <w:rsid w:val="00026505"/>
    <w:rsid w:val="000351C8"/>
    <w:rsid w:val="00046774"/>
    <w:rsid w:val="000508FC"/>
    <w:rsid w:val="00094AE7"/>
    <w:rsid w:val="000A71FC"/>
    <w:rsid w:val="000B1DA2"/>
    <w:rsid w:val="000F0E89"/>
    <w:rsid w:val="000F7598"/>
    <w:rsid w:val="001110EC"/>
    <w:rsid w:val="00124670"/>
    <w:rsid w:val="00127210"/>
    <w:rsid w:val="00136717"/>
    <w:rsid w:val="00145BE3"/>
    <w:rsid w:val="00156E95"/>
    <w:rsid w:val="00164F67"/>
    <w:rsid w:val="0017137C"/>
    <w:rsid w:val="00185B2F"/>
    <w:rsid w:val="001C4DF3"/>
    <w:rsid w:val="001C6252"/>
    <w:rsid w:val="001D3C98"/>
    <w:rsid w:val="001E036A"/>
    <w:rsid w:val="001E0937"/>
    <w:rsid w:val="00201BBC"/>
    <w:rsid w:val="00216158"/>
    <w:rsid w:val="002554CD"/>
    <w:rsid w:val="002578F0"/>
    <w:rsid w:val="00265A4E"/>
    <w:rsid w:val="00293B83"/>
    <w:rsid w:val="002A68FA"/>
    <w:rsid w:val="002B05E3"/>
    <w:rsid w:val="002B4294"/>
    <w:rsid w:val="00317207"/>
    <w:rsid w:val="00324FF8"/>
    <w:rsid w:val="00333D0D"/>
    <w:rsid w:val="00343842"/>
    <w:rsid w:val="00350859"/>
    <w:rsid w:val="0035271E"/>
    <w:rsid w:val="0037209B"/>
    <w:rsid w:val="00382D5E"/>
    <w:rsid w:val="003C1A4A"/>
    <w:rsid w:val="003C6811"/>
    <w:rsid w:val="003D555A"/>
    <w:rsid w:val="003E6508"/>
    <w:rsid w:val="003F6928"/>
    <w:rsid w:val="0040001E"/>
    <w:rsid w:val="00403846"/>
    <w:rsid w:val="00406B22"/>
    <w:rsid w:val="00410B89"/>
    <w:rsid w:val="00413AA9"/>
    <w:rsid w:val="00420ABE"/>
    <w:rsid w:val="00424B10"/>
    <w:rsid w:val="004324FB"/>
    <w:rsid w:val="0043346A"/>
    <w:rsid w:val="00434310"/>
    <w:rsid w:val="00434AB1"/>
    <w:rsid w:val="00437760"/>
    <w:rsid w:val="00447BB1"/>
    <w:rsid w:val="00481F1F"/>
    <w:rsid w:val="00484C55"/>
    <w:rsid w:val="00486794"/>
    <w:rsid w:val="00486EC3"/>
    <w:rsid w:val="00495A57"/>
    <w:rsid w:val="004B2B08"/>
    <w:rsid w:val="004C049F"/>
    <w:rsid w:val="004C2CC9"/>
    <w:rsid w:val="004C5D46"/>
    <w:rsid w:val="004C7E72"/>
    <w:rsid w:val="004D4A1F"/>
    <w:rsid w:val="004D53B4"/>
    <w:rsid w:val="004D632C"/>
    <w:rsid w:val="004E194D"/>
    <w:rsid w:val="005000E2"/>
    <w:rsid w:val="0051785D"/>
    <w:rsid w:val="005239AE"/>
    <w:rsid w:val="0052505B"/>
    <w:rsid w:val="00526497"/>
    <w:rsid w:val="00526B9D"/>
    <w:rsid w:val="00530776"/>
    <w:rsid w:val="005407B7"/>
    <w:rsid w:val="0055699A"/>
    <w:rsid w:val="00567A93"/>
    <w:rsid w:val="0057666B"/>
    <w:rsid w:val="00584D85"/>
    <w:rsid w:val="005A5F04"/>
    <w:rsid w:val="005B7A89"/>
    <w:rsid w:val="005D2A88"/>
    <w:rsid w:val="005E07CA"/>
    <w:rsid w:val="005E4840"/>
    <w:rsid w:val="005F6722"/>
    <w:rsid w:val="00600AD1"/>
    <w:rsid w:val="00602C5E"/>
    <w:rsid w:val="00612A47"/>
    <w:rsid w:val="00616B79"/>
    <w:rsid w:val="00620EC1"/>
    <w:rsid w:val="00624E5C"/>
    <w:rsid w:val="00651A59"/>
    <w:rsid w:val="00657295"/>
    <w:rsid w:val="00684F8F"/>
    <w:rsid w:val="00696932"/>
    <w:rsid w:val="006A3CE7"/>
    <w:rsid w:val="006A76D5"/>
    <w:rsid w:val="006B439A"/>
    <w:rsid w:val="006C571F"/>
    <w:rsid w:val="006E1D5E"/>
    <w:rsid w:val="006E2540"/>
    <w:rsid w:val="006E3EDA"/>
    <w:rsid w:val="006E5F03"/>
    <w:rsid w:val="00702AE0"/>
    <w:rsid w:val="007035CB"/>
    <w:rsid w:val="007040A1"/>
    <w:rsid w:val="00716EA1"/>
    <w:rsid w:val="007203EC"/>
    <w:rsid w:val="00726980"/>
    <w:rsid w:val="0074194A"/>
    <w:rsid w:val="00756875"/>
    <w:rsid w:val="00764584"/>
    <w:rsid w:val="007713FF"/>
    <w:rsid w:val="00775278"/>
    <w:rsid w:val="00787D99"/>
    <w:rsid w:val="00792136"/>
    <w:rsid w:val="0079334F"/>
    <w:rsid w:val="0079672A"/>
    <w:rsid w:val="007A1D3E"/>
    <w:rsid w:val="007B2D12"/>
    <w:rsid w:val="007C32E7"/>
    <w:rsid w:val="007D64DC"/>
    <w:rsid w:val="007F15F5"/>
    <w:rsid w:val="008163E8"/>
    <w:rsid w:val="0082450F"/>
    <w:rsid w:val="008351C2"/>
    <w:rsid w:val="0085126E"/>
    <w:rsid w:val="008659AE"/>
    <w:rsid w:val="00876692"/>
    <w:rsid w:val="0088608D"/>
    <w:rsid w:val="0089714F"/>
    <w:rsid w:val="008B2F59"/>
    <w:rsid w:val="008C1298"/>
    <w:rsid w:val="008C1F5E"/>
    <w:rsid w:val="008D20FD"/>
    <w:rsid w:val="008E2A9C"/>
    <w:rsid w:val="008E3E6F"/>
    <w:rsid w:val="008F0473"/>
    <w:rsid w:val="008F142E"/>
    <w:rsid w:val="00904F21"/>
    <w:rsid w:val="00925FF0"/>
    <w:rsid w:val="00930EA6"/>
    <w:rsid w:val="009679B1"/>
    <w:rsid w:val="00975A8B"/>
    <w:rsid w:val="00985BDD"/>
    <w:rsid w:val="00986062"/>
    <w:rsid w:val="009B39B7"/>
    <w:rsid w:val="009B5569"/>
    <w:rsid w:val="009C554B"/>
    <w:rsid w:val="009D1120"/>
    <w:rsid w:val="009D41F3"/>
    <w:rsid w:val="009D553F"/>
    <w:rsid w:val="00A00EAC"/>
    <w:rsid w:val="00A06BE8"/>
    <w:rsid w:val="00A24898"/>
    <w:rsid w:val="00A4428C"/>
    <w:rsid w:val="00A456C3"/>
    <w:rsid w:val="00A45707"/>
    <w:rsid w:val="00A63D13"/>
    <w:rsid w:val="00A72553"/>
    <w:rsid w:val="00A75A3B"/>
    <w:rsid w:val="00A975F6"/>
    <w:rsid w:val="00AA64FE"/>
    <w:rsid w:val="00AB166E"/>
    <w:rsid w:val="00AC7117"/>
    <w:rsid w:val="00B007B7"/>
    <w:rsid w:val="00B0710A"/>
    <w:rsid w:val="00B11B75"/>
    <w:rsid w:val="00B3039F"/>
    <w:rsid w:val="00B32129"/>
    <w:rsid w:val="00B40544"/>
    <w:rsid w:val="00B44457"/>
    <w:rsid w:val="00B52EC3"/>
    <w:rsid w:val="00B5704B"/>
    <w:rsid w:val="00B60AE7"/>
    <w:rsid w:val="00B84625"/>
    <w:rsid w:val="00B85207"/>
    <w:rsid w:val="00BA3FA9"/>
    <w:rsid w:val="00BA43CB"/>
    <w:rsid w:val="00BB3520"/>
    <w:rsid w:val="00BC2768"/>
    <w:rsid w:val="00BC396A"/>
    <w:rsid w:val="00BD5ADD"/>
    <w:rsid w:val="00BE44EC"/>
    <w:rsid w:val="00BE768F"/>
    <w:rsid w:val="00BF2B84"/>
    <w:rsid w:val="00BF46C0"/>
    <w:rsid w:val="00C009E9"/>
    <w:rsid w:val="00C033D3"/>
    <w:rsid w:val="00C06E6B"/>
    <w:rsid w:val="00C130AD"/>
    <w:rsid w:val="00C43589"/>
    <w:rsid w:val="00C467CA"/>
    <w:rsid w:val="00C623AF"/>
    <w:rsid w:val="00C65290"/>
    <w:rsid w:val="00C6554A"/>
    <w:rsid w:val="00C81B08"/>
    <w:rsid w:val="00C91768"/>
    <w:rsid w:val="00CA124C"/>
    <w:rsid w:val="00CA34F4"/>
    <w:rsid w:val="00CA491E"/>
    <w:rsid w:val="00CB0705"/>
    <w:rsid w:val="00CB2D54"/>
    <w:rsid w:val="00CD646E"/>
    <w:rsid w:val="00CE5E60"/>
    <w:rsid w:val="00CE7A4E"/>
    <w:rsid w:val="00CF0598"/>
    <w:rsid w:val="00D00352"/>
    <w:rsid w:val="00D33DF6"/>
    <w:rsid w:val="00D44EFB"/>
    <w:rsid w:val="00D45669"/>
    <w:rsid w:val="00D73C06"/>
    <w:rsid w:val="00D74535"/>
    <w:rsid w:val="00D77384"/>
    <w:rsid w:val="00D87170"/>
    <w:rsid w:val="00DB24E0"/>
    <w:rsid w:val="00DB44A7"/>
    <w:rsid w:val="00DB4942"/>
    <w:rsid w:val="00DC2537"/>
    <w:rsid w:val="00E0135A"/>
    <w:rsid w:val="00E056EB"/>
    <w:rsid w:val="00E06765"/>
    <w:rsid w:val="00E144E6"/>
    <w:rsid w:val="00E179C6"/>
    <w:rsid w:val="00E2424E"/>
    <w:rsid w:val="00E41583"/>
    <w:rsid w:val="00E41707"/>
    <w:rsid w:val="00E60526"/>
    <w:rsid w:val="00E607B8"/>
    <w:rsid w:val="00E62859"/>
    <w:rsid w:val="00E646DC"/>
    <w:rsid w:val="00E651BE"/>
    <w:rsid w:val="00E658A7"/>
    <w:rsid w:val="00E70A86"/>
    <w:rsid w:val="00E730EF"/>
    <w:rsid w:val="00E802FF"/>
    <w:rsid w:val="00E81567"/>
    <w:rsid w:val="00E838B1"/>
    <w:rsid w:val="00EB15EF"/>
    <w:rsid w:val="00EC1555"/>
    <w:rsid w:val="00ED1A28"/>
    <w:rsid w:val="00ED7C44"/>
    <w:rsid w:val="00EE1206"/>
    <w:rsid w:val="00EE2572"/>
    <w:rsid w:val="00F05A96"/>
    <w:rsid w:val="00F46DF3"/>
    <w:rsid w:val="00F633D9"/>
    <w:rsid w:val="00F72AAB"/>
    <w:rsid w:val="00F749BD"/>
    <w:rsid w:val="00F75494"/>
    <w:rsid w:val="00F91B90"/>
    <w:rsid w:val="00F94FDB"/>
    <w:rsid w:val="00FB45E3"/>
    <w:rsid w:val="00FB63AF"/>
    <w:rsid w:val="00FC5E6E"/>
    <w:rsid w:val="00FD48CD"/>
    <w:rsid w:val="00FE68E2"/>
    <w:rsid w:val="00FF4DD2"/>
    <w:rsid w:val="00FF5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9A274"/>
  <w15:chartTrackingRefBased/>
  <w15:docId w15:val="{779E7F1F-500B-4853-BD1C-2BE8F5F2A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569"/>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styleId="Prrafodelista">
    <w:name w:val="List Paragraph"/>
    <w:basedOn w:val="Normal"/>
    <w:uiPriority w:val="34"/>
    <w:unhideWhenUsed/>
    <w:qFormat/>
    <w:rsid w:val="00B0710A"/>
    <w:pPr>
      <w:ind w:left="720"/>
      <w:contextualSpacing/>
    </w:pPr>
  </w:style>
  <w:style w:type="character" w:styleId="Mencinsinresolver">
    <w:name w:val="Unresolved Mention"/>
    <w:basedOn w:val="Fuentedeprrafopredeter"/>
    <w:uiPriority w:val="99"/>
    <w:semiHidden/>
    <w:unhideWhenUsed/>
    <w:rsid w:val="007A1D3E"/>
    <w:rPr>
      <w:color w:val="605E5C"/>
      <w:shd w:val="clear" w:color="auto" w:fill="E1DFDD"/>
    </w:rPr>
  </w:style>
  <w:style w:type="character" w:styleId="Textoennegrita">
    <w:name w:val="Strong"/>
    <w:basedOn w:val="Fuentedeprrafopredeter"/>
    <w:uiPriority w:val="22"/>
    <w:qFormat/>
    <w:rsid w:val="008D20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3076">
      <w:bodyDiv w:val="1"/>
      <w:marLeft w:val="0"/>
      <w:marRight w:val="0"/>
      <w:marTop w:val="0"/>
      <w:marBottom w:val="0"/>
      <w:divBdr>
        <w:top w:val="none" w:sz="0" w:space="0" w:color="auto"/>
        <w:left w:val="none" w:sz="0" w:space="0" w:color="auto"/>
        <w:bottom w:val="none" w:sz="0" w:space="0" w:color="auto"/>
        <w:right w:val="none" w:sz="0" w:space="0" w:color="auto"/>
      </w:divBdr>
      <w:divsChild>
        <w:div w:id="1907840668">
          <w:marLeft w:val="0"/>
          <w:marRight w:val="0"/>
          <w:marTop w:val="0"/>
          <w:marBottom w:val="0"/>
          <w:divBdr>
            <w:top w:val="none" w:sz="0" w:space="0" w:color="auto"/>
            <w:left w:val="none" w:sz="0" w:space="0" w:color="auto"/>
            <w:bottom w:val="none" w:sz="0" w:space="0" w:color="auto"/>
            <w:right w:val="none" w:sz="0" w:space="0" w:color="auto"/>
          </w:divBdr>
          <w:divsChild>
            <w:div w:id="2126994031">
              <w:marLeft w:val="0"/>
              <w:marRight w:val="0"/>
              <w:marTop w:val="0"/>
              <w:marBottom w:val="0"/>
              <w:divBdr>
                <w:top w:val="none" w:sz="0" w:space="0" w:color="auto"/>
                <w:left w:val="none" w:sz="0" w:space="0" w:color="auto"/>
                <w:bottom w:val="none" w:sz="0" w:space="0" w:color="auto"/>
                <w:right w:val="none" w:sz="0" w:space="0" w:color="auto"/>
              </w:divBdr>
              <w:divsChild>
                <w:div w:id="1556627771">
                  <w:marLeft w:val="0"/>
                  <w:marRight w:val="0"/>
                  <w:marTop w:val="0"/>
                  <w:marBottom w:val="0"/>
                  <w:divBdr>
                    <w:top w:val="none" w:sz="0" w:space="0" w:color="auto"/>
                    <w:left w:val="none" w:sz="0" w:space="0" w:color="auto"/>
                    <w:bottom w:val="none" w:sz="0" w:space="0" w:color="auto"/>
                    <w:right w:val="none" w:sz="0" w:space="0" w:color="auto"/>
                  </w:divBdr>
                  <w:divsChild>
                    <w:div w:id="388697338">
                      <w:marLeft w:val="0"/>
                      <w:marRight w:val="0"/>
                      <w:marTop w:val="0"/>
                      <w:marBottom w:val="0"/>
                      <w:divBdr>
                        <w:top w:val="none" w:sz="0" w:space="0" w:color="auto"/>
                        <w:left w:val="none" w:sz="0" w:space="0" w:color="auto"/>
                        <w:bottom w:val="none" w:sz="0" w:space="0" w:color="auto"/>
                        <w:right w:val="none" w:sz="0" w:space="0" w:color="auto"/>
                      </w:divBdr>
                    </w:div>
                    <w:div w:id="16559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79404">
      <w:bodyDiv w:val="1"/>
      <w:marLeft w:val="0"/>
      <w:marRight w:val="0"/>
      <w:marTop w:val="0"/>
      <w:marBottom w:val="0"/>
      <w:divBdr>
        <w:top w:val="none" w:sz="0" w:space="0" w:color="auto"/>
        <w:left w:val="none" w:sz="0" w:space="0" w:color="auto"/>
        <w:bottom w:val="none" w:sz="0" w:space="0" w:color="auto"/>
        <w:right w:val="none" w:sz="0" w:space="0" w:color="auto"/>
      </w:divBdr>
      <w:divsChild>
        <w:div w:id="1198007379">
          <w:marLeft w:val="0"/>
          <w:marRight w:val="120"/>
          <w:marTop w:val="0"/>
          <w:marBottom w:val="0"/>
          <w:divBdr>
            <w:top w:val="single" w:sz="2" w:space="0" w:color="000000"/>
            <w:left w:val="single" w:sz="2" w:space="0" w:color="000000"/>
            <w:bottom w:val="single" w:sz="2" w:space="0" w:color="000000"/>
            <w:right w:val="single" w:sz="2" w:space="0" w:color="000000"/>
          </w:divBdr>
          <w:divsChild>
            <w:div w:id="1203322132">
              <w:marLeft w:val="0"/>
              <w:marRight w:val="0"/>
              <w:marTop w:val="0"/>
              <w:marBottom w:val="0"/>
              <w:divBdr>
                <w:top w:val="single" w:sz="2" w:space="0" w:color="000000"/>
                <w:left w:val="single" w:sz="2" w:space="0" w:color="000000"/>
                <w:bottom w:val="single" w:sz="2" w:space="0" w:color="000000"/>
                <w:right w:val="single" w:sz="2" w:space="0" w:color="000000"/>
              </w:divBdr>
              <w:divsChild>
                <w:div w:id="420564305">
                  <w:marLeft w:val="0"/>
                  <w:marRight w:val="0"/>
                  <w:marTop w:val="0"/>
                  <w:marBottom w:val="0"/>
                  <w:divBdr>
                    <w:top w:val="single" w:sz="2" w:space="0" w:color="000000"/>
                    <w:left w:val="single" w:sz="2" w:space="0" w:color="000000"/>
                    <w:bottom w:val="single" w:sz="2" w:space="0" w:color="000000"/>
                    <w:right w:val="single" w:sz="2" w:space="0" w:color="000000"/>
                  </w:divBdr>
                  <w:divsChild>
                    <w:div w:id="1887377130">
                      <w:marLeft w:val="0"/>
                      <w:marRight w:val="0"/>
                      <w:marTop w:val="0"/>
                      <w:marBottom w:val="0"/>
                      <w:divBdr>
                        <w:top w:val="single" w:sz="2" w:space="0" w:color="000000"/>
                        <w:left w:val="single" w:sz="2" w:space="0" w:color="000000"/>
                        <w:bottom w:val="single" w:sz="2" w:space="0" w:color="000000"/>
                        <w:right w:val="single" w:sz="2" w:space="0" w:color="000000"/>
                      </w:divBdr>
                      <w:divsChild>
                        <w:div w:id="1580866641">
                          <w:marLeft w:val="0"/>
                          <w:marRight w:val="0"/>
                          <w:marTop w:val="0"/>
                          <w:marBottom w:val="0"/>
                          <w:divBdr>
                            <w:top w:val="single" w:sz="2" w:space="0" w:color="000000"/>
                            <w:left w:val="single" w:sz="2" w:space="0" w:color="000000"/>
                            <w:bottom w:val="single" w:sz="2" w:space="0" w:color="000000"/>
                            <w:right w:val="single" w:sz="2" w:space="0" w:color="000000"/>
                          </w:divBdr>
                          <w:divsChild>
                            <w:div w:id="2058241959">
                              <w:marLeft w:val="0"/>
                              <w:marRight w:val="0"/>
                              <w:marTop w:val="0"/>
                              <w:marBottom w:val="0"/>
                              <w:divBdr>
                                <w:top w:val="none" w:sz="0" w:space="0" w:color="auto"/>
                                <w:left w:val="none" w:sz="0" w:space="0" w:color="auto"/>
                                <w:bottom w:val="none" w:sz="0" w:space="0" w:color="auto"/>
                                <w:right w:val="none" w:sz="0" w:space="0" w:color="auto"/>
                              </w:divBdr>
                              <w:divsChild>
                                <w:div w:id="2038189775">
                                  <w:marLeft w:val="0"/>
                                  <w:marRight w:val="0"/>
                                  <w:marTop w:val="0"/>
                                  <w:marBottom w:val="0"/>
                                  <w:divBdr>
                                    <w:top w:val="single" w:sz="2" w:space="0" w:color="000000"/>
                                    <w:left w:val="single" w:sz="2" w:space="0" w:color="000000"/>
                                    <w:bottom w:val="single" w:sz="2" w:space="0" w:color="000000"/>
                                    <w:right w:val="single" w:sz="2" w:space="0" w:color="000000"/>
                                  </w:divBdr>
                                  <w:divsChild>
                                    <w:div w:id="1963145103">
                                      <w:marLeft w:val="0"/>
                                      <w:marRight w:val="0"/>
                                      <w:marTop w:val="0"/>
                                      <w:marBottom w:val="0"/>
                                      <w:divBdr>
                                        <w:top w:val="none" w:sz="0" w:space="0" w:color="auto"/>
                                        <w:left w:val="none" w:sz="0" w:space="0" w:color="auto"/>
                                        <w:bottom w:val="none" w:sz="0" w:space="0" w:color="auto"/>
                                        <w:right w:val="none" w:sz="0" w:space="0" w:color="auto"/>
                                      </w:divBdr>
                                      <w:divsChild>
                                        <w:div w:id="853105977">
                                          <w:marLeft w:val="0"/>
                                          <w:marRight w:val="0"/>
                                          <w:marTop w:val="0"/>
                                          <w:marBottom w:val="0"/>
                                          <w:divBdr>
                                            <w:top w:val="single" w:sz="2" w:space="0" w:color="000000"/>
                                            <w:left w:val="single" w:sz="2" w:space="0" w:color="000000"/>
                                            <w:bottom w:val="single" w:sz="2" w:space="0" w:color="000000"/>
                                            <w:right w:val="single" w:sz="2" w:space="0" w:color="000000"/>
                                          </w:divBdr>
                                          <w:divsChild>
                                            <w:div w:id="1920821720">
                                              <w:marLeft w:val="0"/>
                                              <w:marRight w:val="0"/>
                                              <w:marTop w:val="0"/>
                                              <w:marBottom w:val="0"/>
                                              <w:divBdr>
                                                <w:top w:val="single" w:sz="2" w:space="0" w:color="000000"/>
                                                <w:left w:val="single" w:sz="2" w:space="0" w:color="000000"/>
                                                <w:bottom w:val="single" w:sz="2" w:space="0" w:color="000000"/>
                                                <w:right w:val="single" w:sz="2" w:space="0" w:color="000000"/>
                                              </w:divBdr>
                                              <w:divsChild>
                                                <w:div w:id="2143189811">
                                                  <w:marLeft w:val="0"/>
                                                  <w:marRight w:val="0"/>
                                                  <w:marTop w:val="0"/>
                                                  <w:marBottom w:val="0"/>
                                                  <w:divBdr>
                                                    <w:top w:val="single" w:sz="2" w:space="0" w:color="000000"/>
                                                    <w:left w:val="single" w:sz="2" w:space="0" w:color="000000"/>
                                                    <w:bottom w:val="single" w:sz="2" w:space="0" w:color="000000"/>
                                                    <w:right w:val="single" w:sz="2" w:space="0" w:color="000000"/>
                                                  </w:divBdr>
                                                  <w:divsChild>
                                                    <w:div w:id="605775662">
                                                      <w:marLeft w:val="0"/>
                                                      <w:marRight w:val="0"/>
                                                      <w:marTop w:val="0"/>
                                                      <w:marBottom w:val="0"/>
                                                      <w:divBdr>
                                                        <w:top w:val="none" w:sz="0" w:space="0" w:color="auto"/>
                                                        <w:left w:val="none" w:sz="0" w:space="0" w:color="auto"/>
                                                        <w:bottom w:val="none" w:sz="0" w:space="0" w:color="auto"/>
                                                        <w:right w:val="none" w:sz="0" w:space="0" w:color="auto"/>
                                                      </w:divBdr>
                                                      <w:divsChild>
                                                        <w:div w:id="4986656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602345343">
          <w:marLeft w:val="0"/>
          <w:marRight w:val="0"/>
          <w:marTop w:val="0"/>
          <w:marBottom w:val="0"/>
          <w:divBdr>
            <w:top w:val="single" w:sz="2" w:space="0" w:color="000000"/>
            <w:left w:val="single" w:sz="2" w:space="0" w:color="000000"/>
            <w:bottom w:val="single" w:sz="2" w:space="0" w:color="000000"/>
            <w:right w:val="single" w:sz="2" w:space="0" w:color="000000"/>
          </w:divBdr>
          <w:divsChild>
            <w:div w:id="1105540244">
              <w:marLeft w:val="0"/>
              <w:marRight w:val="0"/>
              <w:marTop w:val="0"/>
              <w:marBottom w:val="30"/>
              <w:divBdr>
                <w:top w:val="single" w:sz="2" w:space="0" w:color="000000"/>
                <w:left w:val="single" w:sz="2" w:space="0" w:color="000000"/>
                <w:bottom w:val="single" w:sz="2" w:space="0" w:color="000000"/>
                <w:right w:val="single" w:sz="2" w:space="0" w:color="000000"/>
              </w:divBdr>
              <w:divsChild>
                <w:div w:id="1918204505">
                  <w:marLeft w:val="0"/>
                  <w:marRight w:val="0"/>
                  <w:marTop w:val="0"/>
                  <w:marBottom w:val="0"/>
                  <w:divBdr>
                    <w:top w:val="single" w:sz="2" w:space="0" w:color="000000"/>
                    <w:left w:val="single" w:sz="2" w:space="0" w:color="000000"/>
                    <w:bottom w:val="single" w:sz="2" w:space="0" w:color="000000"/>
                    <w:right w:val="single" w:sz="2" w:space="0" w:color="000000"/>
                  </w:divBdr>
                  <w:divsChild>
                    <w:div w:id="752317251">
                      <w:marLeft w:val="0"/>
                      <w:marRight w:val="0"/>
                      <w:marTop w:val="0"/>
                      <w:marBottom w:val="0"/>
                      <w:divBdr>
                        <w:top w:val="single" w:sz="2" w:space="0" w:color="000000"/>
                        <w:left w:val="single" w:sz="2" w:space="0" w:color="000000"/>
                        <w:bottom w:val="single" w:sz="2" w:space="0" w:color="000000"/>
                        <w:right w:val="single" w:sz="2" w:space="0" w:color="000000"/>
                      </w:divBdr>
                      <w:divsChild>
                        <w:div w:id="1198005164">
                          <w:marLeft w:val="0"/>
                          <w:marRight w:val="0"/>
                          <w:marTop w:val="0"/>
                          <w:marBottom w:val="0"/>
                          <w:divBdr>
                            <w:top w:val="single" w:sz="2" w:space="0" w:color="000000"/>
                            <w:left w:val="single" w:sz="2" w:space="0" w:color="000000"/>
                            <w:bottom w:val="single" w:sz="2" w:space="0" w:color="000000"/>
                            <w:right w:val="single" w:sz="2" w:space="0" w:color="000000"/>
                          </w:divBdr>
                          <w:divsChild>
                            <w:div w:id="1260411705">
                              <w:marLeft w:val="0"/>
                              <w:marRight w:val="0"/>
                              <w:marTop w:val="0"/>
                              <w:marBottom w:val="0"/>
                              <w:divBdr>
                                <w:top w:val="single" w:sz="2" w:space="0" w:color="000000"/>
                                <w:left w:val="single" w:sz="2" w:space="0" w:color="000000"/>
                                <w:bottom w:val="single" w:sz="2" w:space="0" w:color="000000"/>
                                <w:right w:val="single" w:sz="2" w:space="0" w:color="000000"/>
                              </w:divBdr>
                              <w:divsChild>
                                <w:div w:id="231432197">
                                  <w:marLeft w:val="0"/>
                                  <w:marRight w:val="0"/>
                                  <w:marTop w:val="0"/>
                                  <w:marBottom w:val="0"/>
                                  <w:divBdr>
                                    <w:top w:val="single" w:sz="2" w:space="0" w:color="000000"/>
                                    <w:left w:val="single" w:sz="2" w:space="0" w:color="000000"/>
                                    <w:bottom w:val="single" w:sz="2" w:space="0" w:color="000000"/>
                                    <w:right w:val="single" w:sz="2" w:space="0" w:color="000000"/>
                                  </w:divBdr>
                                  <w:divsChild>
                                    <w:div w:id="1167207854">
                                      <w:marLeft w:val="0"/>
                                      <w:marRight w:val="0"/>
                                      <w:marTop w:val="0"/>
                                      <w:marBottom w:val="0"/>
                                      <w:divBdr>
                                        <w:top w:val="single" w:sz="2" w:space="0" w:color="000000"/>
                                        <w:left w:val="single" w:sz="2" w:space="0" w:color="000000"/>
                                        <w:bottom w:val="single" w:sz="2" w:space="0" w:color="000000"/>
                                        <w:right w:val="single" w:sz="2" w:space="0" w:color="000000"/>
                                      </w:divBdr>
                                      <w:divsChild>
                                        <w:div w:id="833685179">
                                          <w:marLeft w:val="0"/>
                                          <w:marRight w:val="0"/>
                                          <w:marTop w:val="0"/>
                                          <w:marBottom w:val="0"/>
                                          <w:divBdr>
                                            <w:top w:val="single" w:sz="2" w:space="0" w:color="000000"/>
                                            <w:left w:val="single" w:sz="2" w:space="0" w:color="000000"/>
                                            <w:bottom w:val="single" w:sz="2" w:space="0" w:color="000000"/>
                                            <w:right w:val="single" w:sz="2" w:space="0" w:color="000000"/>
                                          </w:divBdr>
                                          <w:divsChild>
                                            <w:div w:id="17860795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79762903">
      <w:bodyDiv w:val="1"/>
      <w:marLeft w:val="0"/>
      <w:marRight w:val="0"/>
      <w:marTop w:val="0"/>
      <w:marBottom w:val="0"/>
      <w:divBdr>
        <w:top w:val="none" w:sz="0" w:space="0" w:color="auto"/>
        <w:left w:val="none" w:sz="0" w:space="0" w:color="auto"/>
        <w:bottom w:val="none" w:sz="0" w:space="0" w:color="auto"/>
        <w:right w:val="none" w:sz="0" w:space="0" w:color="auto"/>
      </w:divBdr>
      <w:divsChild>
        <w:div w:id="232812687">
          <w:marLeft w:val="0"/>
          <w:marRight w:val="0"/>
          <w:marTop w:val="0"/>
          <w:marBottom w:val="0"/>
          <w:divBdr>
            <w:top w:val="none" w:sz="0" w:space="0" w:color="auto"/>
            <w:left w:val="none" w:sz="0" w:space="0" w:color="auto"/>
            <w:bottom w:val="none" w:sz="0" w:space="0" w:color="auto"/>
            <w:right w:val="none" w:sz="0" w:space="0" w:color="auto"/>
          </w:divBdr>
        </w:div>
        <w:div w:id="1160316268">
          <w:marLeft w:val="0"/>
          <w:marRight w:val="0"/>
          <w:marTop w:val="0"/>
          <w:marBottom w:val="0"/>
          <w:divBdr>
            <w:top w:val="none" w:sz="0" w:space="0" w:color="auto"/>
            <w:left w:val="none" w:sz="0" w:space="0" w:color="auto"/>
            <w:bottom w:val="none" w:sz="0" w:space="0" w:color="auto"/>
            <w:right w:val="none" w:sz="0" w:space="0" w:color="auto"/>
          </w:divBdr>
          <w:divsChild>
            <w:div w:id="653460258">
              <w:marLeft w:val="0"/>
              <w:marRight w:val="0"/>
              <w:marTop w:val="0"/>
              <w:marBottom w:val="0"/>
              <w:divBdr>
                <w:top w:val="none" w:sz="0" w:space="0" w:color="auto"/>
                <w:left w:val="none" w:sz="0" w:space="0" w:color="auto"/>
                <w:bottom w:val="none" w:sz="0" w:space="0" w:color="auto"/>
                <w:right w:val="none" w:sz="0" w:space="0" w:color="auto"/>
              </w:divBdr>
              <w:divsChild>
                <w:div w:id="112291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7179">
      <w:bodyDiv w:val="1"/>
      <w:marLeft w:val="0"/>
      <w:marRight w:val="0"/>
      <w:marTop w:val="0"/>
      <w:marBottom w:val="0"/>
      <w:divBdr>
        <w:top w:val="none" w:sz="0" w:space="0" w:color="auto"/>
        <w:left w:val="none" w:sz="0" w:space="0" w:color="auto"/>
        <w:bottom w:val="none" w:sz="0" w:space="0" w:color="auto"/>
        <w:right w:val="none" w:sz="0" w:space="0" w:color="auto"/>
      </w:divBdr>
    </w:div>
    <w:div w:id="382797991">
      <w:bodyDiv w:val="1"/>
      <w:marLeft w:val="0"/>
      <w:marRight w:val="0"/>
      <w:marTop w:val="0"/>
      <w:marBottom w:val="0"/>
      <w:divBdr>
        <w:top w:val="none" w:sz="0" w:space="0" w:color="auto"/>
        <w:left w:val="none" w:sz="0" w:space="0" w:color="auto"/>
        <w:bottom w:val="none" w:sz="0" w:space="0" w:color="auto"/>
        <w:right w:val="none" w:sz="0" w:space="0" w:color="auto"/>
      </w:divBdr>
    </w:div>
    <w:div w:id="384837135">
      <w:bodyDiv w:val="1"/>
      <w:marLeft w:val="0"/>
      <w:marRight w:val="0"/>
      <w:marTop w:val="0"/>
      <w:marBottom w:val="0"/>
      <w:divBdr>
        <w:top w:val="none" w:sz="0" w:space="0" w:color="auto"/>
        <w:left w:val="none" w:sz="0" w:space="0" w:color="auto"/>
        <w:bottom w:val="none" w:sz="0" w:space="0" w:color="auto"/>
        <w:right w:val="none" w:sz="0" w:space="0" w:color="auto"/>
      </w:divBdr>
    </w:div>
    <w:div w:id="394545459">
      <w:bodyDiv w:val="1"/>
      <w:marLeft w:val="0"/>
      <w:marRight w:val="0"/>
      <w:marTop w:val="0"/>
      <w:marBottom w:val="0"/>
      <w:divBdr>
        <w:top w:val="none" w:sz="0" w:space="0" w:color="auto"/>
        <w:left w:val="none" w:sz="0" w:space="0" w:color="auto"/>
        <w:bottom w:val="none" w:sz="0" w:space="0" w:color="auto"/>
        <w:right w:val="none" w:sz="0" w:space="0" w:color="auto"/>
      </w:divBdr>
    </w:div>
    <w:div w:id="499004077">
      <w:bodyDiv w:val="1"/>
      <w:marLeft w:val="0"/>
      <w:marRight w:val="0"/>
      <w:marTop w:val="0"/>
      <w:marBottom w:val="0"/>
      <w:divBdr>
        <w:top w:val="none" w:sz="0" w:space="0" w:color="auto"/>
        <w:left w:val="none" w:sz="0" w:space="0" w:color="auto"/>
        <w:bottom w:val="none" w:sz="0" w:space="0" w:color="auto"/>
        <w:right w:val="none" w:sz="0" w:space="0" w:color="auto"/>
      </w:divBdr>
    </w:div>
    <w:div w:id="790635192">
      <w:bodyDiv w:val="1"/>
      <w:marLeft w:val="0"/>
      <w:marRight w:val="0"/>
      <w:marTop w:val="0"/>
      <w:marBottom w:val="0"/>
      <w:divBdr>
        <w:top w:val="none" w:sz="0" w:space="0" w:color="auto"/>
        <w:left w:val="none" w:sz="0" w:space="0" w:color="auto"/>
        <w:bottom w:val="none" w:sz="0" w:space="0" w:color="auto"/>
        <w:right w:val="none" w:sz="0" w:space="0" w:color="auto"/>
      </w:divBdr>
      <w:divsChild>
        <w:div w:id="1224410337">
          <w:marLeft w:val="0"/>
          <w:marRight w:val="120"/>
          <w:marTop w:val="0"/>
          <w:marBottom w:val="0"/>
          <w:divBdr>
            <w:top w:val="single" w:sz="2" w:space="0" w:color="000000"/>
            <w:left w:val="single" w:sz="2" w:space="0" w:color="000000"/>
            <w:bottom w:val="single" w:sz="2" w:space="0" w:color="000000"/>
            <w:right w:val="single" w:sz="2" w:space="0" w:color="000000"/>
          </w:divBdr>
          <w:divsChild>
            <w:div w:id="36010932">
              <w:marLeft w:val="0"/>
              <w:marRight w:val="0"/>
              <w:marTop w:val="0"/>
              <w:marBottom w:val="0"/>
              <w:divBdr>
                <w:top w:val="single" w:sz="2" w:space="0" w:color="000000"/>
                <w:left w:val="single" w:sz="2" w:space="0" w:color="000000"/>
                <w:bottom w:val="single" w:sz="2" w:space="0" w:color="000000"/>
                <w:right w:val="single" w:sz="2" w:space="0" w:color="000000"/>
              </w:divBdr>
              <w:divsChild>
                <w:div w:id="233660022">
                  <w:marLeft w:val="0"/>
                  <w:marRight w:val="0"/>
                  <w:marTop w:val="0"/>
                  <w:marBottom w:val="0"/>
                  <w:divBdr>
                    <w:top w:val="single" w:sz="2" w:space="0" w:color="000000"/>
                    <w:left w:val="single" w:sz="2" w:space="0" w:color="000000"/>
                    <w:bottom w:val="single" w:sz="2" w:space="0" w:color="000000"/>
                    <w:right w:val="single" w:sz="2" w:space="0" w:color="000000"/>
                  </w:divBdr>
                  <w:divsChild>
                    <w:div w:id="1827161764">
                      <w:marLeft w:val="0"/>
                      <w:marRight w:val="0"/>
                      <w:marTop w:val="0"/>
                      <w:marBottom w:val="0"/>
                      <w:divBdr>
                        <w:top w:val="single" w:sz="2" w:space="0" w:color="000000"/>
                        <w:left w:val="single" w:sz="2" w:space="0" w:color="000000"/>
                        <w:bottom w:val="single" w:sz="2" w:space="0" w:color="000000"/>
                        <w:right w:val="single" w:sz="2" w:space="0" w:color="000000"/>
                      </w:divBdr>
                      <w:divsChild>
                        <w:div w:id="692153247">
                          <w:marLeft w:val="0"/>
                          <w:marRight w:val="0"/>
                          <w:marTop w:val="0"/>
                          <w:marBottom w:val="0"/>
                          <w:divBdr>
                            <w:top w:val="single" w:sz="2" w:space="0" w:color="000000"/>
                            <w:left w:val="single" w:sz="2" w:space="0" w:color="000000"/>
                            <w:bottom w:val="single" w:sz="2" w:space="0" w:color="000000"/>
                            <w:right w:val="single" w:sz="2" w:space="0" w:color="000000"/>
                          </w:divBdr>
                          <w:divsChild>
                            <w:div w:id="1313412846">
                              <w:marLeft w:val="0"/>
                              <w:marRight w:val="0"/>
                              <w:marTop w:val="0"/>
                              <w:marBottom w:val="0"/>
                              <w:divBdr>
                                <w:top w:val="none" w:sz="0" w:space="0" w:color="auto"/>
                                <w:left w:val="none" w:sz="0" w:space="0" w:color="auto"/>
                                <w:bottom w:val="none" w:sz="0" w:space="0" w:color="auto"/>
                                <w:right w:val="none" w:sz="0" w:space="0" w:color="auto"/>
                              </w:divBdr>
                              <w:divsChild>
                                <w:div w:id="106435594">
                                  <w:marLeft w:val="0"/>
                                  <w:marRight w:val="0"/>
                                  <w:marTop w:val="0"/>
                                  <w:marBottom w:val="0"/>
                                  <w:divBdr>
                                    <w:top w:val="single" w:sz="2" w:space="0" w:color="000000"/>
                                    <w:left w:val="single" w:sz="2" w:space="0" w:color="000000"/>
                                    <w:bottom w:val="single" w:sz="2" w:space="0" w:color="000000"/>
                                    <w:right w:val="single" w:sz="2" w:space="0" w:color="000000"/>
                                  </w:divBdr>
                                  <w:divsChild>
                                    <w:div w:id="520970607">
                                      <w:marLeft w:val="0"/>
                                      <w:marRight w:val="0"/>
                                      <w:marTop w:val="0"/>
                                      <w:marBottom w:val="0"/>
                                      <w:divBdr>
                                        <w:top w:val="none" w:sz="0" w:space="0" w:color="auto"/>
                                        <w:left w:val="none" w:sz="0" w:space="0" w:color="auto"/>
                                        <w:bottom w:val="none" w:sz="0" w:space="0" w:color="auto"/>
                                        <w:right w:val="none" w:sz="0" w:space="0" w:color="auto"/>
                                      </w:divBdr>
                                      <w:divsChild>
                                        <w:div w:id="843058461">
                                          <w:marLeft w:val="0"/>
                                          <w:marRight w:val="0"/>
                                          <w:marTop w:val="0"/>
                                          <w:marBottom w:val="0"/>
                                          <w:divBdr>
                                            <w:top w:val="single" w:sz="2" w:space="0" w:color="000000"/>
                                            <w:left w:val="single" w:sz="2" w:space="0" w:color="000000"/>
                                            <w:bottom w:val="single" w:sz="2" w:space="0" w:color="000000"/>
                                            <w:right w:val="single" w:sz="2" w:space="0" w:color="000000"/>
                                          </w:divBdr>
                                          <w:divsChild>
                                            <w:div w:id="1000934502">
                                              <w:marLeft w:val="0"/>
                                              <w:marRight w:val="0"/>
                                              <w:marTop w:val="0"/>
                                              <w:marBottom w:val="0"/>
                                              <w:divBdr>
                                                <w:top w:val="single" w:sz="2" w:space="0" w:color="000000"/>
                                                <w:left w:val="single" w:sz="2" w:space="0" w:color="000000"/>
                                                <w:bottom w:val="single" w:sz="2" w:space="0" w:color="000000"/>
                                                <w:right w:val="single" w:sz="2" w:space="0" w:color="000000"/>
                                              </w:divBdr>
                                              <w:divsChild>
                                                <w:div w:id="1998222295">
                                                  <w:marLeft w:val="0"/>
                                                  <w:marRight w:val="0"/>
                                                  <w:marTop w:val="0"/>
                                                  <w:marBottom w:val="0"/>
                                                  <w:divBdr>
                                                    <w:top w:val="single" w:sz="2" w:space="0" w:color="000000"/>
                                                    <w:left w:val="single" w:sz="2" w:space="0" w:color="000000"/>
                                                    <w:bottom w:val="single" w:sz="2" w:space="0" w:color="000000"/>
                                                    <w:right w:val="single" w:sz="2" w:space="0" w:color="000000"/>
                                                  </w:divBdr>
                                                  <w:divsChild>
                                                    <w:div w:id="847329647">
                                                      <w:marLeft w:val="0"/>
                                                      <w:marRight w:val="0"/>
                                                      <w:marTop w:val="0"/>
                                                      <w:marBottom w:val="0"/>
                                                      <w:divBdr>
                                                        <w:top w:val="none" w:sz="0" w:space="0" w:color="auto"/>
                                                        <w:left w:val="none" w:sz="0" w:space="0" w:color="auto"/>
                                                        <w:bottom w:val="none" w:sz="0" w:space="0" w:color="auto"/>
                                                        <w:right w:val="none" w:sz="0" w:space="0" w:color="auto"/>
                                                      </w:divBdr>
                                                      <w:divsChild>
                                                        <w:div w:id="10293344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2031952623">
          <w:marLeft w:val="0"/>
          <w:marRight w:val="0"/>
          <w:marTop w:val="0"/>
          <w:marBottom w:val="0"/>
          <w:divBdr>
            <w:top w:val="single" w:sz="2" w:space="0" w:color="000000"/>
            <w:left w:val="single" w:sz="2" w:space="0" w:color="000000"/>
            <w:bottom w:val="single" w:sz="2" w:space="0" w:color="000000"/>
            <w:right w:val="single" w:sz="2" w:space="0" w:color="000000"/>
          </w:divBdr>
          <w:divsChild>
            <w:div w:id="1858233991">
              <w:marLeft w:val="0"/>
              <w:marRight w:val="0"/>
              <w:marTop w:val="0"/>
              <w:marBottom w:val="30"/>
              <w:divBdr>
                <w:top w:val="single" w:sz="2" w:space="0" w:color="000000"/>
                <w:left w:val="single" w:sz="2" w:space="0" w:color="000000"/>
                <w:bottom w:val="single" w:sz="2" w:space="0" w:color="000000"/>
                <w:right w:val="single" w:sz="2" w:space="0" w:color="000000"/>
              </w:divBdr>
              <w:divsChild>
                <w:div w:id="2083721350">
                  <w:marLeft w:val="0"/>
                  <w:marRight w:val="0"/>
                  <w:marTop w:val="0"/>
                  <w:marBottom w:val="0"/>
                  <w:divBdr>
                    <w:top w:val="single" w:sz="2" w:space="0" w:color="000000"/>
                    <w:left w:val="single" w:sz="2" w:space="0" w:color="000000"/>
                    <w:bottom w:val="single" w:sz="2" w:space="0" w:color="000000"/>
                    <w:right w:val="single" w:sz="2" w:space="0" w:color="000000"/>
                  </w:divBdr>
                  <w:divsChild>
                    <w:div w:id="575475356">
                      <w:marLeft w:val="0"/>
                      <w:marRight w:val="0"/>
                      <w:marTop w:val="0"/>
                      <w:marBottom w:val="0"/>
                      <w:divBdr>
                        <w:top w:val="single" w:sz="2" w:space="0" w:color="000000"/>
                        <w:left w:val="single" w:sz="2" w:space="0" w:color="000000"/>
                        <w:bottom w:val="single" w:sz="2" w:space="0" w:color="000000"/>
                        <w:right w:val="single" w:sz="2" w:space="0" w:color="000000"/>
                      </w:divBdr>
                      <w:divsChild>
                        <w:div w:id="8336692">
                          <w:marLeft w:val="0"/>
                          <w:marRight w:val="0"/>
                          <w:marTop w:val="0"/>
                          <w:marBottom w:val="0"/>
                          <w:divBdr>
                            <w:top w:val="single" w:sz="2" w:space="0" w:color="000000"/>
                            <w:left w:val="single" w:sz="2" w:space="0" w:color="000000"/>
                            <w:bottom w:val="single" w:sz="2" w:space="0" w:color="000000"/>
                            <w:right w:val="single" w:sz="2" w:space="0" w:color="000000"/>
                          </w:divBdr>
                          <w:divsChild>
                            <w:div w:id="525800266">
                              <w:marLeft w:val="0"/>
                              <w:marRight w:val="0"/>
                              <w:marTop w:val="0"/>
                              <w:marBottom w:val="0"/>
                              <w:divBdr>
                                <w:top w:val="single" w:sz="2" w:space="0" w:color="000000"/>
                                <w:left w:val="single" w:sz="2" w:space="0" w:color="000000"/>
                                <w:bottom w:val="single" w:sz="2" w:space="0" w:color="000000"/>
                                <w:right w:val="single" w:sz="2" w:space="0" w:color="000000"/>
                              </w:divBdr>
                              <w:divsChild>
                                <w:div w:id="1872450850">
                                  <w:marLeft w:val="0"/>
                                  <w:marRight w:val="0"/>
                                  <w:marTop w:val="0"/>
                                  <w:marBottom w:val="0"/>
                                  <w:divBdr>
                                    <w:top w:val="single" w:sz="2" w:space="0" w:color="000000"/>
                                    <w:left w:val="single" w:sz="2" w:space="0" w:color="000000"/>
                                    <w:bottom w:val="single" w:sz="2" w:space="0" w:color="000000"/>
                                    <w:right w:val="single" w:sz="2" w:space="0" w:color="000000"/>
                                  </w:divBdr>
                                  <w:divsChild>
                                    <w:div w:id="593244046">
                                      <w:marLeft w:val="0"/>
                                      <w:marRight w:val="0"/>
                                      <w:marTop w:val="0"/>
                                      <w:marBottom w:val="0"/>
                                      <w:divBdr>
                                        <w:top w:val="single" w:sz="2" w:space="0" w:color="000000"/>
                                        <w:left w:val="single" w:sz="2" w:space="0" w:color="000000"/>
                                        <w:bottom w:val="single" w:sz="2" w:space="0" w:color="000000"/>
                                        <w:right w:val="single" w:sz="2" w:space="0" w:color="000000"/>
                                      </w:divBdr>
                                      <w:divsChild>
                                        <w:div w:id="1949851539">
                                          <w:marLeft w:val="0"/>
                                          <w:marRight w:val="0"/>
                                          <w:marTop w:val="0"/>
                                          <w:marBottom w:val="0"/>
                                          <w:divBdr>
                                            <w:top w:val="single" w:sz="2" w:space="0" w:color="000000"/>
                                            <w:left w:val="single" w:sz="2" w:space="0" w:color="000000"/>
                                            <w:bottom w:val="single" w:sz="2" w:space="0" w:color="000000"/>
                                            <w:right w:val="single" w:sz="2" w:space="0" w:color="000000"/>
                                          </w:divBdr>
                                          <w:divsChild>
                                            <w:div w:id="11998540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908735345">
      <w:bodyDiv w:val="1"/>
      <w:marLeft w:val="0"/>
      <w:marRight w:val="0"/>
      <w:marTop w:val="0"/>
      <w:marBottom w:val="0"/>
      <w:divBdr>
        <w:top w:val="none" w:sz="0" w:space="0" w:color="auto"/>
        <w:left w:val="none" w:sz="0" w:space="0" w:color="auto"/>
        <w:bottom w:val="none" w:sz="0" w:space="0" w:color="auto"/>
        <w:right w:val="none" w:sz="0" w:space="0" w:color="auto"/>
      </w:divBdr>
    </w:div>
    <w:div w:id="1140462358">
      <w:bodyDiv w:val="1"/>
      <w:marLeft w:val="0"/>
      <w:marRight w:val="0"/>
      <w:marTop w:val="0"/>
      <w:marBottom w:val="0"/>
      <w:divBdr>
        <w:top w:val="none" w:sz="0" w:space="0" w:color="auto"/>
        <w:left w:val="none" w:sz="0" w:space="0" w:color="auto"/>
        <w:bottom w:val="none" w:sz="0" w:space="0" w:color="auto"/>
        <w:right w:val="none" w:sz="0" w:space="0" w:color="auto"/>
      </w:divBdr>
    </w:div>
    <w:div w:id="1777364293">
      <w:bodyDiv w:val="1"/>
      <w:marLeft w:val="0"/>
      <w:marRight w:val="0"/>
      <w:marTop w:val="0"/>
      <w:marBottom w:val="0"/>
      <w:divBdr>
        <w:top w:val="none" w:sz="0" w:space="0" w:color="auto"/>
        <w:left w:val="none" w:sz="0" w:space="0" w:color="auto"/>
        <w:bottom w:val="none" w:sz="0" w:space="0" w:color="auto"/>
        <w:right w:val="none" w:sz="0" w:space="0" w:color="auto"/>
      </w:divBdr>
    </w:div>
    <w:div w:id="1890527102">
      <w:bodyDiv w:val="1"/>
      <w:marLeft w:val="0"/>
      <w:marRight w:val="0"/>
      <w:marTop w:val="0"/>
      <w:marBottom w:val="0"/>
      <w:divBdr>
        <w:top w:val="none" w:sz="0" w:space="0" w:color="auto"/>
        <w:left w:val="none" w:sz="0" w:space="0" w:color="auto"/>
        <w:bottom w:val="none" w:sz="0" w:space="0" w:color="auto"/>
        <w:right w:val="none" w:sz="0" w:space="0" w:color="auto"/>
      </w:divBdr>
    </w:div>
    <w:div w:id="206675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tic.cepchile.cl/uploads/cepchile/2024/08/14161217_xyat_703_garcia-huidobro.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dition.cnn.com/2024/07/04/uk/uk-election-results-tracker-map-2024-intl/index.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dition.cnn.com/2024/07/04/uk/uk-election-results-tracker-map-2024-intl/index.html"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dguerrero.SANTIAGO\AppData\Roaming\Microsoft\Templates\Informe%20de%20estudiante%20con%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 de estudiante con foto.dotx</Template>
  <TotalTime>1429</TotalTime>
  <Pages>7</Pages>
  <Words>1722</Words>
  <Characters>9474</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Carlos Saquel D. - Evolet Group</dc:creator>
  <dc:description/>
  <cp:lastModifiedBy>Carlos Saquel D. - Evolet Group</cp:lastModifiedBy>
  <cp:revision>195</cp:revision>
  <cp:lastPrinted>2024-09-12T18:19:00Z</cp:lastPrinted>
  <dcterms:created xsi:type="dcterms:W3CDTF">2024-07-01T04:32:00Z</dcterms:created>
  <dcterms:modified xsi:type="dcterms:W3CDTF">2024-09-12T18:31:00Z</dcterms:modified>
</cp:coreProperties>
</file>