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Facturación y costos escalables — Tienda CJ</w:t>
      </w:r>
    </w:p>
    <w:p>
      <w:pPr>
        <w:spacing w:after="120"/>
      </w:pPr>
      <w:r>
        <w:t xml:space="preserve">Documento para explicar al cliente dueño de tienda (API key propia en CJ) cómo se reparten: operación CJ, infraestructura AWS, pagos de compradores y fee de plataforma tipo Temu/Shein.</w:t>
      </w:r>
    </w:p>
    <w:p>
      <w:pPr>
        <w:spacing w:after="120"/>
      </w:pPr>
      <w:r>
        <w:rPr>
          <w:i/>
          <w:iCs/>
        </w:rPr>
        <w:t xml:space="preserve">Fuentes: developers.cjdropshipping.com — API Points, Access Limits, Shopping, Logistics, Webhooks.</w:t>
      </w:r>
    </w:p>
    <w:p>
      <w:pPr>
        <w:pStyle w:val="Heading2"/>
        <w:spacing w:after="120" w:before="240"/>
      </w:pPr>
      <w:r>
        <w:t xml:space="preserve">1. Resumen ejecutivo</w:t>
      </w:r>
    </w:p>
    <w:tbl>
      <w:tblPr>
        <w:tblW w:type="pct" w:w="5000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3009"/>
        <w:gridCol w:w="3009"/>
        <w:gridCol w:w="3009"/>
      </w:tblGrid>
      <w:tr>
        <w:tc>
          <w:tcPr>
            <w:tcW w:type="pct" w:w="1667"/>
          </w:tcPr>
          <w:p>
            <w:r>
              <w:rPr>
                <w:b/>
                <w:bCs/>
              </w:rPr>
              <w:t xml:space="preserve">Concepto</w:t>
            </w:r>
          </w:p>
        </w:tc>
        <w:tc>
          <w:tcPr>
            <w:tcW w:type="pct" w:w="1667"/>
          </w:tcPr>
          <w:p>
            <w:r>
              <w:rPr>
                <w:b/>
                <w:bCs/>
              </w:rPr>
              <w:t xml:space="preserve">Quién paga</w:t>
            </w:r>
          </w:p>
        </w:tc>
        <w:tc>
          <w:tcPr>
            <w:tcW w:type="pct" w:w="1667"/>
          </w:tcPr>
          <w:p>
            <w:r>
              <w:rPr>
                <w:b/>
                <w:bCs/>
              </w:rPr>
              <w:t xml:space="preserve">Qué es</w:t>
            </w:r>
          </w:p>
        </w:tc>
      </w:tr>
      <w:tr>
        <w:tc>
          <w:p>
            <w:r>
              <w:t xml:space="preserve">Producto + envío fulfillment</w:t>
            </w:r>
          </w:p>
        </w:tc>
        <w:tc>
          <w:p>
            <w:r>
              <w:t xml:space="preserve">Cliente (wallet CJ)</w:t>
            </w:r>
          </w:p>
        </w:tc>
        <w:tc>
          <w:p>
            <w:r>
              <w:t xml:space="preserve">Costo dropshipping por pedido</w:t>
            </w:r>
          </w:p>
        </w:tc>
      </w:tr>
      <w:tr>
        <w:tc>
          <w:p>
            <w:r>
              <w:t xml:space="preserve">CJ Prime (opcional)</w:t>
            </w:r>
          </w:p>
        </w:tc>
        <w:tc>
          <w:p>
            <w:r>
              <w:t xml:space="preserve">Cliente</w:t>
            </w:r>
          </w:p>
        </w:tc>
        <w:tc>
          <w:p>
            <w:r>
              <w:t xml:space="preserve">Más QPS API y perks; no reemplaza costo producto</w:t>
            </w:r>
          </w:p>
        </w:tc>
      </w:tr>
      <w:tr>
        <w:tc>
          <w:p>
            <w:r>
              <w:t xml:space="preserve">Cuota API (puntos)</w:t>
            </w:r>
          </w:p>
        </w:tc>
        <w:tc>
          <w:p>
            <w:r>
              <w:t xml:space="preserve">Cuenta CJ del cliente</w:t>
            </w:r>
          </w:p>
        </w:tc>
        <w:tc>
          <w:p>
            <w:r>
              <w:t xml:space="preserve">50 000 pts/día base + bonus por ventas USD</w:t>
            </w:r>
          </w:p>
        </w:tc>
      </w:tr>
      <w:tr>
        <w:tc>
          <w:p>
            <w:r>
              <w:t xml:space="preserve">Pasarela B2C</w:t>
            </w:r>
          </w:p>
        </w:tc>
        <w:tc>
          <w:p>
            <w:r>
              <w:t xml:space="preserve">Fee al cliente</w:t>
            </w:r>
          </w:p>
        </w:tc>
        <w:tc>
          <w:p>
            <w:r>
              <w:t xml:space="preserve">Comprador paga retail; PSP descuenta comisión</w:t>
            </w:r>
          </w:p>
        </w:tc>
      </w:tr>
      <w:tr>
        <w:tc>
          <w:p>
            <w:r>
              <w:t xml:space="preserve">AWS</w:t>
            </w:r>
          </w:p>
        </w:tc>
        <w:tc>
          <w:p>
            <w:r>
              <w:t xml:space="preserve">Cliente o fee mensual</w:t>
            </w:r>
          </w:p>
        </w:tc>
        <w:tc>
          <w:p>
            <w:r>
              <w:t xml:space="preserve">Hosting, BD, Redis, CDN</w:t>
            </w:r>
          </w:p>
        </w:tc>
      </w:tr>
      <w:tr>
        <w:tc>
          <w:p>
            <w:r>
              <w:t xml:space="preserve">Plataforma tienda</w:t>
            </w:r>
          </w:p>
        </w:tc>
        <w:tc>
          <w:p>
            <w:r>
              <w:t xml:space="preserve">Contrato contigo</w:t>
            </w:r>
          </w:p>
        </w:tc>
        <w:tc>
          <w:p>
            <w:r>
              <w:t xml:space="preserve">Storefront + panel + integraciones</w:t>
            </w:r>
          </w:p>
        </w:tc>
      </w:tr>
    </w:tbl>
    <w:p>
      <w:pPr>
        <w:spacing w:after="120"/>
      </w:pPr>
      <w:r>
        <w:rPr>
          <w:b/>
          <w:bCs/>
        </w:rPr>
        <w:t xml:space="preserve">CJ no vende un plan API mensual aparte. Sin transacciones en CJ durante 30 días consecutivos, CJ puede suspender el permiso API (política documentada).</w:t>
      </w:r>
    </w:p>
    <w:p>
      <w:pPr>
        <w:pStyle w:val="Heading2"/>
        <w:spacing w:after="120" w:before="240"/>
      </w:pPr>
      <w:r>
        <w:t xml:space="preserve">2. Dos flujos de dinero</w:t>
      </w:r>
    </w:p>
    <w:p>
      <w:pPr>
        <w:spacing w:after="120"/>
      </w:pPr>
      <w:r>
        <w:t xml:space="preserve">Flujo A — Comprador paga al cliente (precio retail) vía pasarela local (Stripe, Mercado Pago, Wompi, etc.).</w:t>
      </w:r>
    </w:p>
    <w:p>
      <w:pPr>
        <w:spacing w:after="120"/>
      </w:pPr>
      <w:r>
        <w:t xml:space="preserve">Flujo B — Cliente paga a CJ vía wallet (createOrderV3 + payBalanceV2 o payType=2) por producto y envío real.</w:t>
      </w:r>
    </w:p>
    <w:p>
      <w:pPr>
        <w:spacing w:after="120"/>
      </w:pPr>
      <w:r>
        <w:t xml:space="preserve">Margen bruto ≈ Precio venta − Costo CJ − Comisión PSP − impuestos (si aplican).</w:t>
      </w:r>
    </w:p>
    <w:p>
      <w:pPr>
        <w:pStyle w:val="Heading2"/>
        <w:spacing w:after="120" w:before="240"/>
      </w:pPr>
      <w:r>
        <w:t xml:space="preserve">3. Límites API (escalabilidad)</w:t>
      </w:r>
    </w:p>
    <w:p>
      <w:pPr>
        <w:spacing w:after="120"/>
      </w:pPr>
      <w:r>
        <w:t xml:space="preserve">QPS: Free/level 0–1 = 1/s; Plus/2 = 2/s; Prime/3 = 4/s; Advanced/4–5 = 6/s.</w:t>
      </w:r>
    </w:p>
    <w:p>
      <w:pPr>
        <w:spacing w:after="120"/>
      </w:pPr>
      <w:r>
        <w:t xml:space="preserve">Puntos/día: 50 000 base + (max ventas USD 3 meses) × 100. Replenish por minuto.</w:t>
      </w:r>
    </w:p>
    <w:tbl>
      <w:tblPr>
        <w:tblW w:type="pct" w:w="5000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4513"/>
        <w:gridCol w:w="4513"/>
      </w:tblGrid>
      <w:tr>
        <w:tc>
          <w:tcPr>
            <w:tcW w:type="pct" w:w="2500"/>
          </w:tcPr>
          <w:p>
            <w:r>
              <w:rPr>
                <w:b/>
                <w:bCs/>
              </w:rPr>
              <w:t xml:space="preserve">Operación</w:t>
            </w:r>
          </w:p>
        </w:tc>
        <w:tc>
          <w:tcPr>
            <w:tcW w:type="pct" w:w="2500"/>
          </w:tcPr>
          <w:p>
            <w:r>
              <w:rPr>
                <w:b/>
                <w:bCs/>
              </w:rPr>
              <w:t xml:space="preserve">Puntos (doc CJ)</w:t>
            </w:r>
          </w:p>
        </w:tc>
      </w:tr>
      <w:tr>
        <w:tc>
          <w:p>
            <w:r>
              <w:t xml:space="preserve">listV2 (1 página)</w:t>
            </w:r>
          </w:p>
        </w:tc>
        <w:tc>
          <w:p>
            <w:r>
              <w:t xml:space="preserve">50</w:t>
            </w:r>
          </w:p>
        </w:tc>
      </w:tr>
      <w:tr>
        <w:tc>
          <w:p>
            <w:r>
              <w:t xml:space="preserve">Búsqueda 500 productos (5 págs)</w:t>
            </w:r>
          </w:p>
        </w:tc>
        <w:tc>
          <w:p>
            <w:r>
              <w:t xml:space="preserve">250</w:t>
            </w:r>
          </w:p>
        </w:tc>
      </w:tr>
      <w:tr>
        <w:tc>
          <w:p>
            <w:r>
              <w:t xml:space="preserve">product/query</w:t>
            </w:r>
          </w:p>
        </w:tc>
        <w:tc>
          <w:p>
            <w:r>
              <w:t xml:space="preserve">10</w:t>
            </w:r>
          </w:p>
        </w:tc>
      </w:tr>
      <w:tr>
        <w:tc>
          <w:p>
            <w:r>
              <w:t xml:space="preserve">Stock por PID</w:t>
            </w:r>
          </w:p>
        </w:tc>
        <w:tc>
          <w:p>
            <w:r>
              <w:t xml:space="preserve">10</w:t>
            </w:r>
          </w:p>
        </w:tc>
      </w:tr>
      <w:tr>
        <w:tc>
          <w:p>
            <w:r>
              <w:t xml:space="preserve">Cotización CO (2 calls)</w:t>
            </w:r>
          </w:p>
        </w:tc>
        <w:tc>
          <w:p>
            <w:r>
              <w:t xml:space="preserve">20</w:t>
            </w:r>
          </w:p>
        </w:tc>
      </w:tr>
    </w:tbl>
    <w:p>
      <w:pPr>
        <w:pStyle w:val="Heading2"/>
        <w:spacing w:after="120" w:before="240"/>
      </w:pPr>
      <w:r>
        <w:t xml:space="preserve">4. Escenarios de uso API</w:t>
      </w:r>
    </w:p>
    <w:tbl>
      <w:tblPr>
        <w:tblW w:type="pct" w:w="5000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pct" w:w="833"/>
          </w:tcPr>
          <w:p>
            <w:r>
              <w:rPr>
                <w:b/>
                <w:bCs/>
              </w:rPr>
              <w:t xml:space="preserve">Escenario</w:t>
            </w:r>
          </w:p>
        </w:tc>
        <w:tc>
          <w:tcPr>
            <w:tcW w:type="pct" w:w="833"/>
          </w:tcPr>
          <w:p>
            <w:r>
              <w:rPr>
                <w:b/>
                <w:bCs/>
              </w:rPr>
              <w:t xml:space="preserve">DAU</w:t>
            </w:r>
          </w:p>
        </w:tc>
        <w:tc>
          <w:tcPr>
            <w:tcW w:type="pct" w:w="833"/>
          </w:tcPr>
          <w:p>
            <w:r>
              <w:rPr>
                <w:b/>
                <w:bCs/>
              </w:rPr>
              <w:t xml:space="preserve">Búsquedas/día</w:t>
            </w:r>
          </w:p>
        </w:tc>
        <w:tc>
          <w:tcPr>
            <w:tcW w:type="pct" w:w="833"/>
          </w:tcPr>
          <w:p>
            <w:r>
              <w:rPr>
                <w:b/>
                <w:bCs/>
              </w:rPr>
              <w:t xml:space="preserve">Detalles/día</w:t>
            </w:r>
          </w:p>
        </w:tc>
        <w:tc>
          <w:tcPr>
            <w:tcW w:type="pct" w:w="833"/>
          </w:tcPr>
          <w:p>
            <w:r>
              <w:rPr>
                <w:b/>
                <w:bCs/>
              </w:rPr>
              <w:t xml:space="preserve">Cotiz./día</w:t>
            </w:r>
          </w:p>
        </w:tc>
        <w:tc>
          <w:tcPr>
            <w:tcW w:type="pct" w:w="833"/>
          </w:tcPr>
          <w:p>
            <w:r>
              <w:rPr>
                <w:b/>
                <w:bCs/>
              </w:rPr>
              <w:t xml:space="preserve">Pedidos/día</w:t>
            </w:r>
          </w:p>
        </w:tc>
      </w:tr>
      <w:tr>
        <w:tc>
          <w:p>
            <w:r>
              <w:t xml:space="preserve">Piloto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80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Crecimiento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150</w:t>
            </w:r>
          </w:p>
        </w:tc>
        <w:tc>
          <w:p>
            <w:r>
              <w:t xml:space="preserve">800</w:t>
            </w:r>
          </w:p>
        </w:tc>
        <w:tc>
          <w:p>
            <w:r>
              <w:t xml:space="preserve">400</w:t>
            </w:r>
          </w:p>
        </w:tc>
        <w:tc>
          <w:p>
            <w:r>
              <w:t xml:space="preserve">50</w:t>
            </w:r>
          </w:p>
        </w:tc>
      </w:tr>
      <w:tr>
        <w:tc>
          <w:p>
            <w:r>
              <w:t xml:space="preserve">Escala</w:t>
            </w:r>
          </w:p>
        </w:tc>
        <w:tc>
          <w:p>
            <w:r>
              <w:t xml:space="preserve">5 000</w:t>
            </w:r>
          </w:p>
        </w:tc>
        <w:tc>
          <w:p>
            <w:r>
              <w:t xml:space="preserve">800</w:t>
            </w:r>
          </w:p>
        </w:tc>
        <w:tc>
          <w:p>
            <w:r>
              <w:t xml:space="preserve">6 000</w:t>
            </w:r>
          </w:p>
        </w:tc>
        <w:tc>
          <w:p>
            <w:r>
              <w:t xml:space="preserve">2 000</w:t>
            </w:r>
          </w:p>
        </w:tc>
        <w:tc>
          <w:p>
            <w:r>
              <w:t xml:space="preserve">400</w:t>
            </w:r>
          </w:p>
        </w:tc>
      </w:tr>
    </w:tbl>
    <w:p>
      <w:pPr>
        <w:spacing w:after="120"/>
      </w:pPr>
      <w:r>
        <w:t xml:space="preserve">Puntos consulta/día ≈ (Búsquedas × 250) + (Detalles × 20) + (Cotizaciones × 20).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Piloto: ~7 300 pts/día — cabe en base 50k.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Crecimiento: ~61 500 — borderline; requiere bonus por ventas y caché agresivo.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Escala: ~360 000 — requiere alto volumen ventas CJ + caché + menos listV2 redundante.</w:t>
      </w:r>
    </w:p>
    <w:p>
      <w:pPr>
        <w:pStyle w:val="Heading2"/>
        <w:spacing w:after="120" w:before="240"/>
      </w:pPr>
      <w:r>
        <w:t xml:space="preserve">5. Ejemplo económico por pedido (ilustrativo USD)</w:t>
      </w:r>
    </w:p>
    <w:tbl>
      <w:tblPr>
        <w:tblW w:type="pct" w:w="5000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4513"/>
        <w:gridCol w:w="4513"/>
      </w:tblGrid>
      <w:tr>
        <w:tc>
          <w:tcPr>
            <w:tcW w:type="pct" w:w="2500"/>
          </w:tcPr>
          <w:p>
            <w:r>
              <w:rPr>
                <w:b/>
                <w:bCs/>
              </w:rPr>
              <w:t xml:space="preserve">Línea</w:t>
            </w:r>
          </w:p>
        </w:tc>
        <w:tc>
          <w:tcPr>
            <w:tcW w:type="pct" w:w="2500"/>
          </w:tcPr>
          <w:p>
            <w:r>
              <w:rPr>
                <w:b/>
                <w:bCs/>
              </w:rPr>
              <w:t xml:space="preserve">USD</w:t>
            </w:r>
          </w:p>
        </w:tc>
      </w:tr>
      <w:tr>
        <w:tc>
          <w:p>
            <w:r>
              <w:t xml:space="preserve">Precio venta al comprador</w:t>
            </w:r>
          </w:p>
        </w:tc>
        <w:tc>
          <w:p>
            <w:r>
              <w:t xml:space="preserve">29,90</w:t>
            </w:r>
          </w:p>
        </w:tc>
      </w:tr>
      <w:tr>
        <w:tc>
          <w:p>
            <w:r>
              <w:t xml:space="preserve">Costo producto CJ</w:t>
            </w:r>
          </w:p>
        </w:tc>
        <w:tc>
          <w:p>
            <w:r>
              <w:t xml:space="preserve">8,50</w:t>
            </w:r>
          </w:p>
        </w:tc>
      </w:tr>
      <w:tr>
        <w:tc>
          <w:p>
            <w:r>
              <w:t xml:space="preserve">Envío CJ</w:t>
            </w:r>
          </w:p>
        </w:tc>
        <w:tc>
          <w:p>
            <w:r>
              <w:t xml:space="preserve">6,20</w:t>
            </w:r>
          </w:p>
        </w:tc>
      </w:tr>
      <w:tr>
        <w:tc>
          <w:p>
            <w:r>
              <w:t xml:space="preserve">Costo CJ total</w:t>
            </w:r>
          </w:p>
        </w:tc>
        <w:tc>
          <w:p>
            <w:r>
              <w:t xml:space="preserve">14,70</w:t>
            </w:r>
          </w:p>
        </w:tc>
      </w:tr>
      <w:tr>
        <w:tc>
          <w:p>
            <w:r>
              <w:t xml:space="preserve">Comisión PSP (3 %)</w:t>
            </w:r>
          </w:p>
        </w:tc>
        <w:tc>
          <w:p>
            <w:r>
              <w:t xml:space="preserve">0,90</w:t>
            </w:r>
          </w:p>
        </w:tc>
      </w:tr>
      <w:tr>
        <w:tc>
          <w:p>
            <w:r>
              <w:t xml:space="preserve">Margen bruto</w:t>
            </w:r>
          </w:p>
        </w:tc>
        <w:tc>
          <w:p>
            <w:r>
              <w:t xml:space="preserve">14,30</w:t>
            </w:r>
          </w:p>
        </w:tc>
      </w:tr>
    </w:tbl>
    <w:p>
      <w:pPr>
        <w:spacing w:after="120"/>
      </w:pPr>
      <w:r>
        <w:t xml:space="preserve">400 pedidos/mes × 14,30 USD margen ≈ 5 720 USD/mes bruto (antes AWS, marketing, devoluciones).</w:t>
      </w:r>
    </w:p>
    <w:p>
      <w:pPr>
        <w:pStyle w:val="Heading2"/>
        <w:spacing w:after="120" w:before="240"/>
      </w:pPr>
      <w:r>
        <w:t xml:space="preserve">6. Proyección AWS (local hoy → producción)</w:t>
      </w:r>
    </w:p>
    <w:p>
      <w:pPr>
        <w:spacing w:after="120"/>
      </w:pPr>
      <w:r>
        <w:t xml:space="preserve">Hoy: npm run dev + .env.local. Producción: HTTPS, Secrets Manager, RDS, webhooks CJ/PSP.</w:t>
      </w:r>
    </w:p>
    <w:p>
      <w:pPr>
        <w:spacing w:after="120"/>
      </w:pPr>
      <w:r>
        <w:rPr>
          <w:b/>
          <w:bCs/>
        </w:rPr>
        <w:t xml:space="preserve">EC2 + Amplify a la vez para la misma app Next: NO recomendado (costo duplicado). Elegir uno:</w:t>
      </w:r>
    </w:p>
    <w:tbl>
      <w:tblPr>
        <w:tblW w:type="pct" w:w="5000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3009"/>
        <w:gridCol w:w="3009"/>
        <w:gridCol w:w="3009"/>
      </w:tblGrid>
      <w:tr>
        <w:tc>
          <w:tcPr>
            <w:tcW w:type="pct" w:w="1667"/>
          </w:tcPr>
          <w:p>
            <w:r>
              <w:rPr>
                <w:b/>
                <w:bCs/>
              </w:rPr>
              <w:t xml:space="preserve">Opción</w:t>
            </w:r>
          </w:p>
        </w:tc>
        <w:tc>
          <w:tcPr>
            <w:tcW w:type="pct" w:w="1667"/>
          </w:tcPr>
          <w:p>
            <w:r>
              <w:rPr>
                <w:b/>
                <w:bCs/>
              </w:rPr>
              <w:t xml:space="preserve">Cuándo</w:t>
            </w:r>
          </w:p>
        </w:tc>
        <w:tc>
          <w:tcPr>
            <w:tcW w:type="pct" w:w="1667"/>
          </w:tcPr>
          <w:p>
            <w:r>
              <w:rPr>
                <w:b/>
                <w:bCs/>
              </w:rPr>
              <w:t xml:space="preserve">Piloto USD/mes</w:t>
            </w:r>
          </w:p>
        </w:tc>
      </w:tr>
      <w:tr>
        <w:tc>
          <w:p>
            <w:r>
              <w:t xml:space="preserve">A — EC2 t3.small + ALB + RDS</w:t>
            </w:r>
          </w:p>
        </w:tc>
        <w:tc>
          <w:p>
            <w:r>
              <w:t xml:space="preserve">Control, cron, cola QPS 1 instancia</w:t>
            </w:r>
          </w:p>
        </w:tc>
        <w:tc>
          <w:p>
            <w:r>
              <w:t xml:space="preserve">55–100</w:t>
            </w:r>
          </w:p>
        </w:tc>
      </w:tr>
      <w:tr>
        <w:tc>
          <w:p>
            <w:r>
              <w:t xml:space="preserve">B — Amplify Hosting + RDS + Redis</w:t>
            </w:r>
          </w:p>
        </w:tc>
        <w:tc>
          <w:p>
            <w:r>
              <w:t xml:space="preserve">Deploy Git, menos ops</w:t>
            </w:r>
          </w:p>
        </w:tc>
        <w:tc>
          <w:p>
            <w:r>
              <w:t xml:space="preserve">52–103</w:t>
            </w:r>
          </w:p>
        </w:tc>
      </w:tr>
      <w:tr>
        <w:tc>
          <w:p>
            <w:r>
              <w:t xml:space="preserve">C — Crecimiento</w:t>
            </w:r>
          </w:p>
        </w:tc>
        <w:tc>
          <w:p>
            <w:r>
              <w:t xml:space="preserve">Más tráfico / ASG / WAF</w:t>
            </w:r>
          </w:p>
        </w:tc>
        <w:tc>
          <w:p>
            <w:r>
              <w:t xml:space="preserve">200–490</w:t>
            </w:r>
          </w:p>
        </w:tc>
      </w:tr>
      <w:tr>
        <w:tc>
          <w:p>
            <w:r>
              <w:t xml:space="preserve">D — Escala</w:t>
            </w:r>
          </w:p>
        </w:tc>
        <w:tc>
          <w:p>
            <w:r>
              <w:t xml:space="preserve">Multi-AZ, réplicas</w:t>
            </w:r>
          </w:p>
        </w:tc>
        <w:tc>
          <w:p>
            <w:r>
              <w:t xml:space="preserve">1 500–2 500+</w:t>
            </w:r>
          </w:p>
        </w:tc>
      </w:tr>
    </w:tbl>
    <w:p>
      <w:pPr>
        <w:spacing w:after="120"/>
      </w:pPr>
      <w:r>
        <w:t xml:space="preserve">EC2 piloto: Docker con Next.js, Redis en EC2 o ElastiCache micro. Amplify: Redis recomendado si hay varias instancias SSR.</w:t>
      </w:r>
    </w:p>
    <w:p>
      <w:pPr>
        <w:spacing w:after="120"/>
      </w:pPr>
      <w:r>
        <w:t xml:space="preserve">Equivalencia: .env.local → Secrets Manager; caché browser → Redis; localhost → ACM + dominio.</w:t>
      </w:r>
    </w:p>
    <w:p>
      <w:pPr>
        <w:pStyle w:val="Heading2"/>
        <w:spacing w:after="120" w:before="240"/>
      </w:pPr>
      <w:r>
        <w:t xml:space="preserve">7. Endpoints CJ (tienda completa)</w:t>
      </w:r>
    </w:p>
    <w:p>
      <w:pPr>
        <w:spacing w:after="120"/>
      </w:pPr>
      <w:r>
        <w:t xml:space="preserve">~22 rutas en operación normal; 8 ya en MVP. Tabla detallada: docs/CJ_ENDPOINTS_TIENDA.md</w:t>
      </w:r>
    </w:p>
    <w:tbl>
      <w:tblPr>
        <w:tblW w:type="pct" w:w="5000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4513"/>
        <w:gridCol w:w="4513"/>
      </w:tblGrid>
      <w:tr>
        <w:tc>
          <w:tcPr>
            <w:tcW w:type="pct" w:w="2500"/>
          </w:tcPr>
          <w:p>
            <w:r>
              <w:rPr>
                <w:b/>
                <w:bCs/>
              </w:rPr>
              <w:t xml:space="preserve">Fase</w:t>
            </w:r>
          </w:p>
        </w:tc>
        <w:tc>
          <w:tcPr>
            <w:tcW w:type="pct" w:w="2500"/>
          </w:tcPr>
          <w:p>
            <w:r>
              <w:rPr>
                <w:b/>
                <w:bCs/>
              </w:rPr>
              <w:t xml:space="preserve">Rutas v1 (prefijo /api2.0/v1)</w:t>
            </w:r>
          </w:p>
        </w:tc>
      </w:tr>
      <w:tr>
        <w:tc>
          <w:p>
            <w:r>
              <w:t xml:space="preserve">MVP hoy</w:t>
            </w:r>
          </w:p>
        </w:tc>
        <w:tc>
          <w:p>
            <w:r>
              <w:t xml:space="preserve">authentication/getAccessToken, refreshAccessToken; product/getCategory, listV2, query, stock/queryByPid; logistic/freightCalculate, freightCalculateTip</w:t>
            </w:r>
          </w:p>
        </w:tc>
      </w:tr>
      <w:tr>
        <w:tc>
          <w:p>
            <w:r>
              <w:t xml:space="preserve">Checkout</w:t>
            </w:r>
          </w:p>
        </w:tc>
        <w:tc>
          <w:p>
            <w:r>
              <w:t xml:space="preserve">shopping/order/createOrderV3, pay/payBalanceV2, pay/getBalance; warehouse/detail; product/variant/queryByVid, stock/queryByVid</w:t>
            </w:r>
          </w:p>
        </w:tc>
      </w:tr>
      <w:tr>
        <w:tc>
          <w:p>
            <w:r>
              <w:t xml:space="preserve">Post-venta</w:t>
            </w:r>
          </w:p>
        </w:tc>
        <w:tc>
          <w:p>
            <w:r>
              <w:t xml:space="preserve">shopping/order/list, getOrderDetail; logistic/trackInfo; webhook/set</w:t>
            </w:r>
          </w:p>
        </w:tc>
      </w:tr>
      <w:tr>
        <w:tc>
          <w:p>
            <w:r>
              <w:t xml:space="preserve">Panel</w:t>
            </w:r>
          </w:p>
        </w:tc>
        <w:tc>
          <w:p>
            <w:r>
              <w:t xml:space="preserve">setting/get; shopping/wallet/billingHistory, balanceHistory (opc.)</w:t>
            </w:r>
          </w:p>
        </w:tc>
      </w:tr>
      <w:tr>
        <w:tc>
          <w:p>
            <w:r>
              <w:t xml:space="preserve">UX+</w:t>
            </w:r>
          </w:p>
        </w:tc>
        <w:tc>
          <w:p>
            <w:r>
              <w:t xml:space="preserve">product/review/query; disputes/* (opc.)</w:t>
            </w:r>
          </w:p>
        </w:tc>
      </w:tr>
    </w:tbl>
    <w:p>
      <w:pPr>
        <w:spacing w:after="120"/>
      </w:pPr>
      <w:r>
        <w:t xml:space="preserve">Evitar: product/list (deprecated), logistic/getTrackInfo, payBalance legacy, queryProductsByImage (1000 pts).</w:t>
      </w:r>
    </w:p>
    <w:p>
      <w:pPr>
        <w:pStyle w:val="Heading2"/>
        <w:spacing w:after="120" w:before="240"/>
      </w:pPr>
      <w:r>
        <w:t xml:space="preserve">8. Propuesta comercial al cliente</w:t>
      </w:r>
    </w:p>
    <w:p>
      <w:pPr>
        <w:spacing w:after="120"/>
      </w:pPr>
      <w:r>
        <w:t xml:space="preserve">Setup único: storefront, panel merchant, CJ + PSP + webhooks + AWS.</w:t>
      </w:r>
    </w:p>
    <w:p>
      <w:pPr>
        <w:spacing w:after="120"/>
      </w:pPr>
      <w:r>
        <w:t xml:space="preserve">Recurrente — ejemplos de tiers (ajustar en contrato):</w:t>
      </w:r>
    </w:p>
    <w:tbl>
      <w:tblPr>
        <w:tblW w:type="pct" w:w="5000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3009"/>
        <w:gridCol w:w="3009"/>
        <w:gridCol w:w="3009"/>
      </w:tblGrid>
      <w:tr>
        <w:tc>
          <w:tcPr>
            <w:tcW w:type="pct" w:w="1667"/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pct" w:w="1667"/>
          </w:tcPr>
          <w:p>
            <w:r>
              <w:rPr>
                <w:b/>
                <w:bCs/>
              </w:rPr>
              <w:t xml:space="preserve">Pedidos/mes</w:t>
            </w:r>
          </w:p>
        </w:tc>
        <w:tc>
          <w:tcPr>
            <w:tcW w:type="pct" w:w="1667"/>
          </w:tcPr>
          <w:p>
            <w:r>
              <w:rPr>
                <w:b/>
                <w:bCs/>
              </w:rPr>
              <w:t xml:space="preserve">Fee plataforma (ejemplo)</w:t>
            </w:r>
          </w:p>
        </w:tc>
      </w:tr>
      <w:tr>
        <w:tc>
          <w:p>
            <w:r>
              <w:t xml:space="preserve">Starter</w:t>
            </w:r>
          </w:p>
        </w:tc>
        <w:tc>
          <w:p>
            <w:r>
              <w:t xml:space="preserve">&lt; 200</w:t>
            </w:r>
          </w:p>
        </w:tc>
        <w:tc>
          <w:p>
            <w:r>
              <w:t xml:space="preserve">$299/mes</w:t>
            </w:r>
          </w:p>
        </w:tc>
      </w:tr>
      <w:tr>
        <w:tc>
          <w:p>
            <w:r>
              <w:t xml:space="preserve">Growth</w:t>
            </w:r>
          </w:p>
        </w:tc>
        <w:tc>
          <w:p>
            <w:r>
              <w:t xml:space="preserve">200–2 000</w:t>
            </w:r>
          </w:p>
        </w:tc>
        <w:tc>
          <w:p>
            <w:r>
              <w:t xml:space="preserve">$799/mes</w:t>
            </w:r>
          </w:p>
        </w:tc>
      </w:tr>
      <w:tr>
        <w:tc>
          <w:p>
            <w:r>
              <w:t xml:space="preserve">Scale</w:t>
            </w:r>
          </w:p>
        </w:tc>
        <w:tc>
          <w:p>
            <w:r>
              <w:t xml:space="preserve">2 000+</w:t>
            </w:r>
          </w:p>
        </w:tc>
        <w:tc>
          <w:p>
            <w:r>
              <w:t xml:space="preserve">Custom</w:t>
            </w:r>
          </w:p>
        </w:tc>
      </w:tr>
    </w:tbl>
    <w:p>
      <w:pPr>
        <w:spacing w:after="120"/>
      </w:pPr>
      <w:r>
        <w:t xml:space="preserve">Pago directo del cliente: wallet CJ, CJ Prime opcional, comisiones PSP, dominio y email.</w:t>
      </w:r>
    </w:p>
    <w:p>
      <w:pPr>
        <w:pStyle w:val="Heading2"/>
        <w:spacing w:after="120" w:before="240"/>
      </w:pPr>
      <w:r>
        <w:t xml:space="preserve">8. Checklist operativo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Precio retail = costo CJ + margen + envío; webhooks product/stock para cambios.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Tracking vía trackInfo + webhook logistics (timeline tipo Temu).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Mantener ventas en CJ para no perder API (30 días sin transacciones).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IP/NAT estable: máximo 3 cuentas API por IP (documentación CJ).</w:t>
      </w:r>
    </w:p>
    <w:p>
      <w:pPr>
        <w:pStyle w:val="Heading2"/>
        <w:spacing w:after="120" w:before="240"/>
      </w:pPr>
      <w:r>
        <w:t xml:space="preserve">9. Arquitectura de referencia</w:t>
      </w:r>
    </w:p>
    <w:p>
      <w:pPr>
        <w:spacing w:after="120"/>
      </w:pPr>
      <w:r>
        <w:t xml:space="preserve">Ver docs/DIAGRAMA_ALTO_NIVEL.md: AWS (CloudFront, ALB, Next.js BFF, RDS, Redis, webhooks CJ), PSP para B2C, CJ para fulfillment. API key del cliente en Secrets Manager.</w:t>
      </w:r>
    </w:p>
    <w:p>
      <w:pPr>
        <w:spacing w:after="120"/>
      </w:pPr>
      <w:r>
        <w:rPr>
          <w:i/>
          <w:iCs/>
        </w:rPr>
        <w:t xml:space="preserve">Versión 1.0 — Dashboard CJ / tienda marketplace.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2026-09-30T13:37:17.038Z</dcterms:created>
  <dcterms:modified xsi:type="dcterms:W3CDTF">2026-09-30T13:37:17.041Z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