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2D4E"/>
          <w:sz w:val="60"/>
        </w:rPr>
        <w:t>SKYNET</w:t>
      </w:r>
    </w:p>
    <w:p>
      <w:pPr>
        <w:jc w:val="center"/>
      </w:pPr>
      <w:r>
        <w:rPr>
          <w:b/>
          <w:sz w:val="36"/>
        </w:rPr>
        <w:t>Marco normativo, técnico y de cumplimiento</w:t>
        <w:br/>
        <w:t>para uso en el Terminal de Transportes de Neiva</w:t>
      </w:r>
    </w:p>
    <w:p>
      <w:pPr>
        <w:jc w:val="center"/>
      </w:pPr>
      <w:r>
        <w:rPr>
          <w:sz w:val="22"/>
        </w:rPr>
        <w:t>Colombia | Versión de referencia: agosto de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vAlign w:val="center"/>
          </w:tcPr>
          <w:p>
            <w:r/>
            <w:r>
              <w:rPr>
                <w:b w:val="0"/>
                <w:sz w:val="20"/>
              </w:rPr>
              <w:t>NOTA DE ALCANCE</w:t>
              <w:br/>
              <w:t>Este documento identifica el marco normativo y técnico que debe considerarse para Skynet. La aplicabilidad exacta depende de la naturaleza jurídica del Terminal, del contrato, del tipo de información procesada y del alcance funcional del sistema. El documento no sustituye una revisión jurídica institucional.</w:t>
            </w:r>
          </w:p>
        </w:tc>
      </w:tr>
    </w:tbl>
    <w:p>
      <w:r>
        <w:br w:type="page"/>
      </w:r>
    </w:p>
    <w:p>
      <w:pPr>
        <w:pStyle w:val="Heading1"/>
      </w:pPr>
      <w:r>
        <w:t>1. Resumen ejecutivo</w:t>
      </w:r>
    </w:p>
    <w:p>
      <w:r>
        <w:t>Skynet debe prepararse como un sistema seguro, auditable, accesible y respetuoso de la protección de datos si va a ser usado por el Terminal de Transportes de Neiva. El marco principal no es una sola ley: combina protección de datos, Gobierno Digital, seguridad y privacidad de la información, transparencia, accesibilidad, gestión documental y normas sectoriales de transporte. Los marcos OWASP, ISO/IEC y NIST sirven como referencias técnicas de implementación y evidencia, pero no deben presentarse automáticamente como “leyes obligatorias”.</w:t>
      </w:r>
    </w:p>
    <w:p>
      <w:r>
        <w:t xml:space="preserve">La Política de Gobierno Digital de MinTIC mantiene actualmente, entre sus referencias normativas, el Decreto 767 de 2022, la Resolución 500 de 2021, la Resolución 1519 de 2020 y la Resolución 02277 de 2025, entre otras. En 2026 MinTIC publicó además lineamientos específicos de seguridad y privacidad para sistemas de Inteligencia Artificial en entidades públicas. </w:t>
      </w:r>
    </w:p>
    <w:p>
      <w:pPr>
        <w:pStyle w:val="Heading1"/>
      </w:pPr>
      <w:r>
        <w:t>2. Cómo leer este listado</w:t>
      </w:r>
    </w:p>
    <w:p>
      <w:pPr>
        <w:pStyle w:val="ListBullet"/>
      </w:pPr>
      <w:r>
        <w:t>APLICACIÓN DIRECTA: norma que debe considerarse especialmente porque regula la información, operación o contexto del sistema.</w:t>
      </w:r>
    </w:p>
    <w:p>
      <w:pPr>
        <w:pStyle w:val="ListBullet"/>
      </w:pPr>
      <w:r>
        <w:t>CONDICIONADA: depende de que el Terminal sea sujeto obligado, de la naturaleza jurídica, del contrato o de una funcionalidad concreta de Skynet.</w:t>
      </w:r>
    </w:p>
    <w:p>
      <w:pPr>
        <w:pStyle w:val="ListBullet"/>
      </w:pPr>
      <w:r>
        <w:t>REFERENCIA TÉCNICA: estándar o marco útil para implementar y demostrar controles; no equivale por sí mismo a una obligación legal.</w:t>
      </w:r>
    </w:p>
    <w:p>
      <w:pPr>
        <w:pStyle w:val="ListBullet"/>
      </w:pPr>
      <w:r>
        <w:t>INSTITUCIONAL: requiere controles, políticas, contratos, responsables o decisiones del Terminal además del código.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sz w:val="16"/>
              </w:rPr>
              <w:t>Norma / marco</w:t>
            </w:r>
          </w:p>
        </w:tc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sz w:val="16"/>
              </w:rPr>
              <w:t>Tema</w:t>
            </w:r>
          </w:p>
        </w:tc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sz w:val="16"/>
              </w:rPr>
              <w:t>Aplicabilidad</w:t>
            </w:r>
          </w:p>
        </w:tc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sz w:val="16"/>
              </w:rPr>
              <w:t>Qué cubre en Skynet</w:t>
            </w:r>
          </w:p>
        </w:tc>
        <w:tc>
          <w:tcPr>
            <w:tcW w:type="dxa" w:w="2045"/>
            <w:vAlign w:val="center"/>
            <w:shd w:fill="1F4E78"/>
          </w:tcPr>
          <w:p>
            <w:r/>
            <w:r>
              <w:rPr>
                <w:b/>
                <w:sz w:val="16"/>
              </w:rPr>
              <w:t>Acción esperada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Ley 1581 de 2012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Protección de datos personales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APLICACIÓN DIRECTA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Usuarios, funcionarios, pasajeros, proveedores, imágenes, teléfonos, correos, documentos y demás datos personales.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Política de tratamiento, privacidad, derechos de titulares, seguridad, acceso restringido, gestión de terceros, minimización y trazabilidad.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Decreto 1074 de 2015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Reglamentación de protección de datos y RNBD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APLICACIÓN / CONDICIONADA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Responsable/encargado del tratamiento y bases de datos personales.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Procesos de tratamiento, gestión de encargados, RNBD cuando corresponda, medidas de seguridad y documentación.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Decreto 886 de 2014 (integrado al régimen de datos)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Registro Nacional de Bases de Datos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CONDICIONADA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Si el responsable está obligado a registrar bases en RNBD.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Diseñar inventario de bases y documentación para que el responsable pueda cumplir el RNBD.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Decreto 767 de 2022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Política de Gobierno Digital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CONDICIONADA / PRIORITARIA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Si el Terminal o la entidad vinculada es sujeto de la Política de Gobierno Digital o el contrato exige sus lineamientos.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Arquitectura, seguridad, privacidad, servicios digitales, gestión de riesgos y valor público.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Resolución 500 de 2021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Estrategia de seguridad digital y MSPI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CONDICIONADA / PRIORITARIA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Sistemas y servicios de sujetos obligados de Gobierno Digital.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MSPI, gestión de riesgos, incidentes, seguridad en desarrollo de software, terceros y privacidad.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Resolución 746 de 2022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Actualiza/adiciona controles de seguridad y proveedores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CONDICIONADA / PRIORITARIA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Especialmente cuando hay nube, proveedores de seguridad, servicios externos o transferencias de datos.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Controles de proveedores, nube, riesgos de integración y transferencias internacionales.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Resolución 02277 de 2025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Lineamientos MSPI vigentes/actualizados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CONDICIONADA / PRIORITARIA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Debe revisarse para adoptar la versión vigente de lineamientos del MSPI aplicables a la entidad.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Alinear seguridad y privacidad con los lineamientos vigentes de MinTIC y conservar evidencia.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Lineamientos MinTIC 2026 para IA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Seguridad y privacidad de la información para sistemas de IA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CONDICIONADA / MUY RELEVANTE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Skynet usa IA (Gemini u otro proveedor).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Gestión de riesgos de IA, privacidad, monitoreo, robustez, seguridad del modelo, proveedores y controles del ciclo de vida.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Ley 1712 de 2014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Transparencia y acceso a la información pública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CONDICIONADA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Información pública en poder o custodia de un sujeto obligado.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Clasificación de información, publicidad, excepciones, acceso y trazabilidad.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Decreto 1081 de 2015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Reglamentación de transparencia y acceso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CONDICIONADA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Sujetos obligados por Ley 1712.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Publicación y divulgación de información pública y procedimientos aplicables.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Resolución 1519 de 2020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Publicación, accesibilidad web, seguridad digital, datos abiertos y PQRSD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CONDICIONADA / PRIORITARIA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Especialmente si Skynet integra portal, sede electrónica o contenidos sujetos a publicación pública.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WCAG 2.1 AA, requisitos de publicación, seguridad digital, datos abiertos y formularios PQRSD cuando aplique.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Ley 594 de 2000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Ley General de Archivos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CONDICIONADA / PRIORITARIA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Cuando Skynet cree, reciba, gestione o conserve documentos oficiales o información archivística.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Gestión documental, retención, conservación, integridad, trazabilidad y eliminación autorizada.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Decreto 1079 de 2015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Decreto Único Reglamentario del Sector Transporte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SECTORIAL / CONDICIONADA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Por la operación del Terminal y sus procesos relacionados con transporte terrestre.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Validar funcionalidades que afecten información/procesos regulados del Terminal con el área jurídica y operativa.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Decreto 2762 de 2001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Creación, habilitación, homologación y operación de terminales de transporte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SECTORIAL / CONTEXTO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Marco específico de terminales de transporte de pasajeros por carretera.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Alinear cualquier módulo operacional del Terminal con reglas sectoriales y manuales/actos administrativos aplicables.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Ley 1273 de 2009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Protección penal de la información y datos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APLICACIÓN INDIRECTA / SEGURIDAD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Riesgos de acceso abusivo, daño informático, violación de datos, etc.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Controles de seguridad para prevenir conductas penalmente relevantes.</w:t>
            </w:r>
          </w:p>
        </w:tc>
      </w:tr>
    </w:tbl>
    <w:p>
      <w:pPr>
        <w:pStyle w:val="Heading1"/>
      </w:pPr>
      <w:r>
        <w:t>3. Estándares y marcos técnicos recomendados para Skynet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sz w:val="16"/>
              </w:rPr>
              <w:t>Marco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sz w:val="16"/>
              </w:rPr>
              <w:t>Propósito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sz w:val="16"/>
              </w:rPr>
              <w:t>Aplicación en Skynet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OWASP ASVS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Verificación de controles de seguridad de aplicaciones web.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Usarlo como checklist de aceptación de seguridad del backend/frontend.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OWASP Top 10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Riesgos comunes de aplicaciones web.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Revisar autenticación, autorización, inyección, diseño inseguro, etc.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OWASP API Security Top 10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Riesgos específicos de APIs.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Revisar BOLA/IDOR, autenticación, autorización, exposición de datos y abuso de APIs.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OWASP LLM / GenAI Security Guidance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Riesgos de aplicaciones con modelos generativos.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Proteger Skynet contra prompt injection, excessive agency, output handling y filtraciones.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ISO/IEC 27001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Sistema de gestión de seguridad de la información.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Tomar como marco de gestión y evidencia; no afirmar certificación si no existe.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ISO/IEC 27002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Catálogo de controles de seguridad.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Ayudar a diseñar controles de acceso, operaciones, proveedores, continuidad y otros.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NIST Cybersecurity Framework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Gestión del riesgo de ciberseguridad.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Organizar identificación, protección, detección, respuesta y recuperación.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CWE / CVE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Clasificación y seguimiento de vulnerabilidades.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Usar en revisión de código, dependencias y gestión de vulnerabilidades.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WCAG 2.1 nivel AA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Accesibilidad web.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Especialmente relevante por la Resolución 1519 de 2020 cuando sea sujeto obligado.</w:t>
            </w:r>
          </w:p>
        </w:tc>
      </w:tr>
    </w:tbl>
    <w:p>
      <w:pPr>
        <w:pStyle w:val="Heading1"/>
      </w:pPr>
      <w:r>
        <w:t>4. Controles que Skynet debe implementar</w:t>
      </w:r>
    </w:p>
    <w:p>
      <w:pPr>
        <w:pStyle w:val="Heading2"/>
      </w:pPr>
      <w:r>
        <w:t>Protección de datos</w:t>
      </w:r>
    </w:p>
    <w:p>
      <w:pPr>
        <w:pStyle w:val="ListBullet"/>
      </w:pPr>
      <w:r>
        <w:t>Política de privacidad y tratamiento de datos</w:t>
      </w:r>
    </w:p>
    <w:p>
      <w:pPr>
        <w:pStyle w:val="ListBullet"/>
      </w:pPr>
      <w:r>
        <w:t>Inventario y clasificación de datos</w:t>
      </w:r>
    </w:p>
    <w:p>
      <w:pPr>
        <w:pStyle w:val="ListBullet"/>
      </w:pPr>
      <w:r>
        <w:t>Minimización y finalidad</w:t>
      </w:r>
    </w:p>
    <w:p>
      <w:pPr>
        <w:pStyle w:val="ListBullet"/>
      </w:pPr>
      <w:r>
        <w:t>Gestión de titulares y solicitudes</w:t>
      </w:r>
    </w:p>
    <w:p>
      <w:pPr>
        <w:pStyle w:val="ListBullet"/>
      </w:pPr>
      <w:r>
        <w:t>Control de acceso a datos personales</w:t>
      </w:r>
    </w:p>
    <w:p>
      <w:pPr>
        <w:pStyle w:val="ListBullet"/>
      </w:pPr>
      <w:r>
        <w:t>Gestión de terceros y proveedores</w:t>
      </w:r>
    </w:p>
    <w:p>
      <w:pPr>
        <w:pStyle w:val="ListBullet"/>
      </w:pPr>
      <w:r>
        <w:t>Retención y eliminación conforme a las reglas institucionales</w:t>
      </w:r>
    </w:p>
    <w:p>
      <w:pPr>
        <w:pStyle w:val="Heading2"/>
      </w:pPr>
      <w:r>
        <w:t>Seguridad de aplicaciones</w:t>
      </w:r>
    </w:p>
    <w:p>
      <w:pPr>
        <w:pStyle w:val="ListBullet"/>
      </w:pPr>
      <w:r>
        <w:t>RBAC y mínimo privilegio</w:t>
      </w:r>
    </w:p>
    <w:p>
      <w:pPr>
        <w:pStyle w:val="ListBullet"/>
      </w:pPr>
      <w:r>
        <w:t>Validación y sanitización de entradas</w:t>
      </w:r>
    </w:p>
    <w:p>
      <w:pPr>
        <w:pStyle w:val="ListBullet"/>
      </w:pPr>
      <w:r>
        <w:t>Protección de APIs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Gestión segura de sesiones y tokens</w:t>
      </w:r>
    </w:p>
    <w:p>
      <w:pPr>
        <w:pStyle w:val="ListBullet"/>
      </w:pPr>
      <w:r>
        <w:t>Cabeceras de seguridad</w:t>
      </w:r>
    </w:p>
    <w:p>
      <w:pPr>
        <w:pStyle w:val="ListBullet"/>
      </w:pPr>
      <w:r>
        <w:t>Manejo seguro de errores</w:t>
      </w:r>
    </w:p>
    <w:p>
      <w:pPr>
        <w:pStyle w:val="ListBullet"/>
      </w:pPr>
      <w:r>
        <w:t>Gestión de dependencias y CVE</w:t>
      </w:r>
    </w:p>
    <w:p>
      <w:pPr>
        <w:pStyle w:val="Heading2"/>
      </w:pPr>
      <w:r>
        <w:t>IA</w:t>
      </w:r>
    </w:p>
    <w:p>
      <w:pPr>
        <w:pStyle w:val="ListBullet"/>
      </w:pPr>
      <w:r>
        <w:t>Filtrado/minimización de datos antes del proveedor de IA</w:t>
      </w:r>
    </w:p>
    <w:p>
      <w:pPr>
        <w:pStyle w:val="ListBullet"/>
      </w:pPr>
      <w:r>
        <w:t>Control de prompts y prompt injection</w:t>
      </w:r>
    </w:p>
    <w:p>
      <w:pPr>
        <w:pStyle w:val="ListBullet"/>
      </w:pPr>
      <w:r>
        <w:t>Policy Engine para acciones</w:t>
      </w:r>
    </w:p>
    <w:p>
      <w:pPr>
        <w:pStyle w:val="ListBullet"/>
      </w:pPr>
      <w:r>
        <w:t>Autorización antes de acciones críticas</w:t>
      </w:r>
    </w:p>
    <w:p>
      <w:pPr>
        <w:pStyle w:val="ListBullet"/>
      </w:pPr>
      <w:r>
        <w:t>Auditoría de acciones de IA</w:t>
      </w:r>
    </w:p>
    <w:p>
      <w:pPr>
        <w:pStyle w:val="ListBullet"/>
      </w:pPr>
      <w:r>
        <w:t>Gestión de proveedores y transferencias de datos</w:t>
      </w:r>
    </w:p>
    <w:p>
      <w:pPr>
        <w:pStyle w:val="ListBullet"/>
      </w:pPr>
      <w:r>
        <w:t>Pruebas de robustez y monitoreo</w:t>
      </w:r>
    </w:p>
    <w:p>
      <w:pPr>
        <w:pStyle w:val="Heading2"/>
      </w:pPr>
      <w:r>
        <w:t>Infraestructura</w:t>
      </w:r>
    </w:p>
    <w:p>
      <w:pPr>
        <w:pStyle w:val="ListBullet"/>
      </w:pPr>
      <w:r>
        <w:t>HTTPS/TLS</w:t>
      </w:r>
    </w:p>
    <w:p>
      <w:pPr>
        <w:pStyle w:val="ListBullet"/>
      </w:pPr>
      <w:r>
        <w:t>Gestión segura de secretos</w:t>
      </w:r>
    </w:p>
    <w:p>
      <w:pPr>
        <w:pStyle w:val="ListBullet"/>
      </w:pPr>
      <w:r>
        <w:t>Firewall y reducción de superficie de ataque</w:t>
      </w:r>
    </w:p>
    <w:p>
      <w:pPr>
        <w:pStyle w:val="ListBullet"/>
      </w:pPr>
      <w:r>
        <w:t>Backups cifrados</w:t>
      </w:r>
    </w:p>
    <w:p>
      <w:pPr>
        <w:pStyle w:val="ListBullet"/>
      </w:pPr>
      <w:r>
        <w:t>Pruebas de restauración</w:t>
      </w:r>
    </w:p>
    <w:p>
      <w:pPr>
        <w:pStyle w:val="ListBullet"/>
      </w:pPr>
      <w:r>
        <w:t>Monitoreo y alertas</w:t>
      </w:r>
    </w:p>
    <w:p>
      <w:pPr>
        <w:pStyle w:val="ListBullet"/>
      </w:pPr>
      <w:r>
        <w:t>Gestión de incidentes</w:t>
      </w:r>
    </w:p>
    <w:p>
      <w:pPr>
        <w:pStyle w:val="Heading2"/>
      </w:pPr>
      <w:r>
        <w:t>Accesibilidad</w:t>
      </w:r>
    </w:p>
    <w:p>
      <w:pPr>
        <w:pStyle w:val="ListBullet"/>
      </w:pPr>
      <w:r>
        <w:t>WCAG 2.1 AA cuando aplique</w:t>
      </w:r>
    </w:p>
    <w:p>
      <w:pPr>
        <w:pStyle w:val="ListBullet"/>
      </w:pPr>
      <w:r>
        <w:t>Navegación por teclado</w:t>
      </w:r>
    </w:p>
    <w:p>
      <w:pPr>
        <w:pStyle w:val="ListBullet"/>
      </w:pPr>
      <w:r>
        <w:t>Contraste</w:t>
      </w:r>
    </w:p>
    <w:p>
      <w:pPr>
        <w:pStyle w:val="ListBullet"/>
      </w:pPr>
      <w:r>
        <w:t>Etiquetas y lectores de pantalla</w:t>
      </w:r>
    </w:p>
    <w:p>
      <w:pPr>
        <w:pStyle w:val="ListBullet"/>
      </w:pPr>
      <w:r>
        <w:t>Mensajes de error accesibles</w:t>
      </w:r>
    </w:p>
    <w:p>
      <w:pPr>
        <w:pStyle w:val="ListBullet"/>
      </w:pPr>
      <w:r>
        <w:t>Diseño responsive</w:t>
      </w:r>
    </w:p>
    <w:p>
      <w:pPr>
        <w:pStyle w:val="Heading2"/>
      </w:pPr>
      <w:r>
        <w:t>Auditoría</w:t>
      </w:r>
    </w:p>
    <w:p>
      <w:pPr>
        <w:pStyle w:val="ListBullet"/>
      </w:pPr>
      <w:r>
        <w:t>Logs de acceso</w:t>
      </w:r>
    </w:p>
    <w:p>
      <w:pPr>
        <w:pStyle w:val="ListBullet"/>
      </w:pPr>
      <w:r>
        <w:t>Logs administrativos</w:t>
      </w:r>
    </w:p>
    <w:p>
      <w:pPr>
        <w:pStyle w:val="ListBullet"/>
      </w:pPr>
      <w:r>
        <w:t>Trazabilidad de cambios</w:t>
      </w:r>
    </w:p>
    <w:p>
      <w:pPr>
        <w:pStyle w:val="ListBullet"/>
      </w:pPr>
      <w:r>
        <w:t>Auditoría de acciones de IA</w:t>
      </w:r>
    </w:p>
    <w:p>
      <w:pPr>
        <w:pStyle w:val="ListBullet"/>
      </w:pPr>
      <w:r>
        <w:t>No almacenar secretos en logs</w:t>
      </w:r>
    </w:p>
    <w:p>
      <w:pPr>
        <w:pStyle w:val="ListBullet"/>
      </w:pPr>
      <w:r>
        <w:t>Retención y protección de evidencias</w:t>
      </w:r>
    </w:p>
    <w:p>
      <w:pPr>
        <w:pStyle w:val="Heading1"/>
      </w:pPr>
      <w:r>
        <w:t>5. Lo que debe cumplir el proyecto y lo que debe cumplir el Terminal</w:t>
      </w:r>
    </w:p>
    <w:p>
      <w:r>
        <w:t>Skynet puede implementar gran parte de los controles técnicos, pero algunas obligaciones son institucionales y no se solucionan exclusivamente programando. Por ejemplo: definición del responsable del tratamiento, políticas aprobadas, contratos con encargados, gestión del RNBD cuando corresponda, conservación documental, clasificación institucional de información, análisis formal de riesgos, procedimientos de incidentes y aprobación de políticas.</w:t>
      </w:r>
    </w:p>
    <w:p>
      <w:pPr>
        <w:pStyle w:val="Heading1"/>
      </w:pPr>
      <w:r>
        <w:t>6. Lista de verificación para llevar Skynet a cumplimiento</w:t>
      </w:r>
    </w:p>
    <w:p>
      <w:r>
        <w:t>☐ Confirmar naturaleza jurídica del Terminal de Transportes de Neiva y su calidad de sujeto obligado en cada norma.</w:t>
      </w:r>
    </w:p>
    <w:p>
      <w:r>
        <w:t>☐ Definir el rol del Terminal frente a los datos: responsable, encargado o ambos según cada tratamiento.</w:t>
      </w:r>
    </w:p>
    <w:p>
      <w:r>
        <w:t>☐ Levantar inventario de bases de datos y categorías de datos.</w:t>
      </w:r>
    </w:p>
    <w:p>
      <w:r>
        <w:t>☐ Definir política de tratamiento de datos y aviso de privacidad.</w:t>
      </w:r>
    </w:p>
    <w:p>
      <w:r>
        <w:t>☐ Revisar obligaciones RNBD con el responsable institucional.</w:t>
      </w:r>
    </w:p>
    <w:p>
      <w:r>
        <w:t>☐ Adoptar los lineamientos MSPI vigentes y documentar controles.</w:t>
      </w:r>
    </w:p>
    <w:p>
      <w:r>
        <w:t>☐ Aplicar seguridad desde el ciclo de desarrollo.</w:t>
      </w:r>
    </w:p>
    <w:p>
      <w:r>
        <w:t>☐ Implementar gestión de incidentes y evidencias.</w:t>
      </w:r>
    </w:p>
    <w:p>
      <w:r>
        <w:t>☐ Implementar controles específicos para IA y proveedores de IA.</w:t>
      </w:r>
    </w:p>
    <w:p>
      <w:r>
        <w:t>☐ Revisar transferencias/transmisiones internacionales de datos cuando existan.</w:t>
      </w:r>
    </w:p>
    <w:p>
      <w:r>
        <w:t>☐ Implementar accesibilidad web conforme a la obligación aplicable.</w:t>
      </w:r>
    </w:p>
    <w:p>
      <w:r>
        <w:t>☐ Revisar transparencia, publicación y PQRSD cuando Skynet se integre a canales sujetos a Ley 1712/Resolución 1519.</w:t>
      </w:r>
    </w:p>
    <w:p>
      <w:r>
        <w:t>☐ Integrar gestión documental y retención cuando Skynet maneje documentos oficiales.</w:t>
      </w:r>
    </w:p>
    <w:p>
      <w:r>
        <w:t>☐ Realizar pentest / revisión de seguridad / ASVS antes de producción.</w:t>
      </w:r>
    </w:p>
    <w:p>
      <w:r>
        <w:t>☐ Generar matriz de riesgos y evidencia de remediación.</w:t>
      </w:r>
    </w:p>
    <w:p>
      <w:r>
        <w:t>☐ Establecer plan de backups y probar restauración.</w:t>
      </w:r>
    </w:p>
    <w:p>
      <w:r>
        <w:t>☐ Documentar arquitectura, flujos de datos, proveedores, APIs y permisos.</w:t>
      </w:r>
    </w:p>
    <w:p>
      <w:r>
        <w:t>☐ Realizar validación jurídica final antes de declarar cumplimiento institucional.</w:t>
      </w:r>
    </w:p>
    <w:p>
      <w:pPr>
        <w:pStyle w:val="Heading1"/>
      </w:pPr>
      <w:r>
        <w:t>7. Fuentes oficiales consultadas</w:t>
      </w:r>
    </w:p>
    <w:p>
      <w:r>
        <w:rPr>
          <w:b/>
        </w:rPr>
        <w:t xml:space="preserve">MinTIC - Normatividad de Política de Gobierno Digital — </w:t>
      </w:r>
      <w:r>
        <w:t>https://gobiernodigital.mintic.gov.co/portal/Politica-de-Gobierno-Digital/Normatividad/</w:t>
      </w:r>
    </w:p>
    <w:p>
      <w:r>
        <w:rPr>
          <w:b/>
        </w:rPr>
        <w:t xml:space="preserve">MinTIC - Biblioteca / lineamientos de Gobierno Digital — </w:t>
      </w:r>
      <w:r>
        <w:t>https://gobiernodigital.mintic.gov.co/portal/Biblioteca/</w:t>
      </w:r>
    </w:p>
    <w:p>
      <w:r>
        <w:rPr>
          <w:b/>
        </w:rPr>
        <w:t xml:space="preserve">MinTIC - Resolución 500 de 2021 — </w:t>
      </w:r>
      <w:r>
        <w:t>https://normograma.mintic.gov.co/mintic/compilacion/docs/resolucion_mintic_0500_2021.htm</w:t>
      </w:r>
    </w:p>
    <w:p>
      <w:r>
        <w:rPr>
          <w:b/>
        </w:rPr>
        <w:t xml:space="preserve">MinTIC - Resolución 1519 de 2020 — </w:t>
      </w:r>
      <w:r>
        <w:t>https://normograma.mintic.gov.co/mintic/compilacion/docs/resolucion_mintic_1519_2020.htm</w:t>
      </w:r>
    </w:p>
    <w:p>
      <w:r>
        <w:rPr>
          <w:b/>
        </w:rPr>
        <w:t xml:space="preserve">MinTIC - Decreto 767 de 2022 — </w:t>
      </w:r>
      <w:r>
        <w:t>https://normograma.mintic.gov.co/mintic/compilacion/docs/decreto_0767_2022.htm</w:t>
      </w:r>
    </w:p>
    <w:p>
      <w:r>
        <w:rPr>
          <w:b/>
        </w:rPr>
        <w:t xml:space="preserve">MinTIC - Lineamientos de seguridad y privacidad para IA (2026) — </w:t>
      </w:r>
      <w:r>
        <w:t>https://www.mintic.gov.co/portal/715/w3-article-437197.html</w:t>
      </w:r>
    </w:p>
    <w:p>
      <w:r>
        <w:rPr>
          <w:b/>
        </w:rPr>
        <w:t xml:space="preserve">SUIN-Juriscol - Ley 1581 de 2012 — </w:t>
      </w:r>
      <w:r>
        <w:t>https://www.suin-juriscol.gov.co/viewDocument.asp?ruta=Leyes/1684507</w:t>
      </w:r>
    </w:p>
    <w:p>
      <w:r>
        <w:rPr>
          <w:b/>
        </w:rPr>
        <w:t xml:space="preserve">Función Pública - Decreto 1074 de 2015 — </w:t>
      </w:r>
      <w:r>
        <w:t>https://www1.funcionpublica.gov.co/eva/gestornormativo/norma.php?i=76608</w:t>
      </w:r>
    </w:p>
    <w:p>
      <w:r>
        <w:rPr>
          <w:b/>
        </w:rPr>
        <w:t xml:space="preserve">Función Pública - Ley 1712 de 2014 — </w:t>
      </w:r>
      <w:r>
        <w:t>https://www.funcionpublica.gov.co/eva/gestornormativo/norma.php?i=56882</w:t>
      </w:r>
    </w:p>
    <w:p>
      <w:r>
        <w:rPr>
          <w:b/>
        </w:rPr>
        <w:t xml:space="preserve">Archivo General de la Nación - Ley 594 de 2000 — </w:t>
      </w:r>
      <w:r>
        <w:t>https://normativa.archivogeneral.gov.co/ley-594-de-2000/</w:t>
      </w:r>
    </w:p>
    <w:p>
      <w:r>
        <w:rPr>
          <w:b/>
        </w:rPr>
        <w:t xml:space="preserve">Función Pública - Decreto 1079 de 2015 — </w:t>
      </w:r>
      <w:r>
        <w:t>https://www1.funcionpublica.gov.co/eva/gestornormativo/norma.php?i=77889</w:t>
      </w:r>
    </w:p>
    <w:p>
      <w:r>
        <w:rPr>
          <w:b/>
        </w:rPr>
        <w:t xml:space="preserve">Función Pública - Decreto 2762 de 2001 — </w:t>
      </w:r>
      <w:r>
        <w:t>https://www1.funcionpublica.gov.co/eva/gestornormativo/norma.php?i=11067</w:t>
      </w:r>
    </w:p>
    <w:p>
      <w:pPr>
        <w:pStyle w:val="Heading1"/>
      </w:pPr>
      <w:r>
        <w:t>8. Advertencia de cumplimiento</w:t>
      </w:r>
    </w:p>
    <w:p>
      <w:r>
        <w:t>Este documento es una guía técnica y de cumplimiento para orientar el desarrollo de Skynet. La frase “cumple” debe reservarse para controles que hayan sido implementados, probados y respaldados con evidencia. La conformidad jurídica e institucional final debe ser validada por el Terminal de Transportes de Neiva y sus responsables jurídico, de seguridad, privacidad y gestión documental, según corresponda.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SKYNET | Marco normativo y de cumplimiento | Agosto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D4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2D4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42D4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42D4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