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003366"/>
          <w:sz w:val="48"/>
        </w:rPr>
        <w:t>Documentación de cumplimiento — Skynet</w:t>
      </w:r>
    </w:p>
    <w:p/>
    <w:p>
      <w:pPr>
        <w:pStyle w:val="Heading1"/>
      </w:pPr>
      <w:r>
        <w:rPr>
          <w:sz w:val="36"/>
        </w:rPr>
        <w:t>Documentación de cumplimiento — Skynet</w:t>
      </w:r>
    </w:p>
    <w:p>
      <w:r>
        <w:rPr>
          <w:b/>
        </w:rPr>
        <w:t>Este directorio documenta cómo Skynet (ERP del Terminal de Transporte de Neiva S.A.) aplica protección de datos personales, seguridad de la información y buenas prácticas de Gobierno Digital en Colombia. Se generó y actualizó por última vez el **2026-08-18**, tras una ronda de endurecimiento aplicada directamente sobre el código (ver `auditoria-trazabilidad.md` para el detalle de qué se corrigió esa sesión).</w:t>
      </w:r>
    </w:p>
    <w:p>
      <w:pPr>
        <w:pStyle w:val="Heading2"/>
      </w:pPr>
      <w:r>
        <w:rPr>
          <w:sz w:val="28"/>
        </w:rPr>
        <w:t>Cómo leer esta carpeta</w:t>
      </w:r>
    </w:p>
    <w:p>
      <w:pPr>
        <w:pStyle w:val="ListBullet"/>
      </w:pPr>
      <w:r>
        <w:t>**`matriz-cumplimiento.md`** — por cada norma/marco (Ley 1581, OWASP, ISO 27001, NIST CSF...), qué requisito aplica, cómo está implementado en el código, y su estado: CUMPLE, PARCIAL, PENDIENTE, NO APLICA o **REQUIERE VALIDACIÓN JURÍDICA/INSTITUCIONAL**.</w:t>
      </w:r>
    </w:p>
    <w:p>
      <w:pPr>
        <w:pStyle w:val="ListBullet"/>
      </w:pPr>
      <w:r>
        <w:t>**`matriz-seguridad.md`** — hallazgos técnicos concretos (vulnerabilidad, severidad, archivo, solución, estado).</w:t>
      </w:r>
    </w:p>
    <w:p>
      <w:pPr>
        <w:pStyle w:val="ListBullet"/>
      </w:pPr>
      <w:r>
        <w:t>El resto de archivos desarrolla cada tema (privacidad, arquitectura de seguridad, IA, backups, accesibilidad, etc.).</w:t>
      </w:r>
    </w:p>
    <w:p>
      <w:pPr>
        <w:pStyle w:val="Heading2"/>
      </w:pPr>
      <w:r>
        <w:rPr>
          <w:sz w:val="28"/>
        </w:rPr>
        <w:t>Principio rector de esta documentación</w:t>
      </w:r>
    </w:p>
    <w:p>
      <w:r>
        <w:rPr>
          <w:b/>
        </w:rPr>
        <w:t>No se inventan obligaciones legales ni se afirma cumplimiento donde no fue verificado contra el código real. Cuando un requisito depende de una decisión jurídica, contractual o institucional que no puede resolverse técnicamente (p. ej. el plazo exacto de retención de un dato, si se requiere registro ante la SIC, si hace falta un DPA con un proveedor), se marca explícitamente como **REQUIERE VALIDACIÓN JURÍDICA/INSTITUCIONAL** en vez de asumir una respuesta.</w:t>
      </w:r>
    </w:p>
    <w:p>
      <w:pPr>
        <w:pStyle w:val="Heading2"/>
      </w:pPr>
      <w:r>
        <w:rPr>
          <w:sz w:val="28"/>
        </w:rPr>
        <w:t>Alcance de esta primera versión</w:t>
      </w:r>
    </w:p>
    <w:p>
      <w:r>
        <w:rPr>
          <w:b/>
        </w:rPr>
        <w:t>Esta documentación y el endurecimiento que la respalda cubren: protección de datos personales, autenticación y gestión de sesiones, RBAC/autorización, seguridad de API, MongoDB, gestión de secretos, auditoría/trazabilidad, y una primera capa de cabeceras de seguridad HTTP. **Quedan explícitamente pendientes para una siguiente sesión** (ver `matriz-cumplimiento.md`): protección contra prompt injection indirecto en el copiloto de IA, accesibilidad WCAG formal (auditoría con herramientas automatizadas + corrección), hardening de SSH/firewall del VPS, y firma digital del instalador de escritorio.</w:t>
      </w:r>
    </w:p>
    <w:p>
      <w:pPr>
        <w:pStyle w:val="Heading2"/>
      </w:pPr>
      <w:r>
        <w:rPr>
          <w:sz w:val="28"/>
        </w:rPr>
        <w:t>Entidad y contexto</w:t>
      </w:r>
    </w:p>
    <w:p>
      <w:r>
        <w:t>Terminal de Transportes de Neiva S.A. — el alcance exacto de sus obligaciones (si aplica régimen de entidad pública, mixta o privada prestadora de servicio público, y qué implica eso para Ley 1581/2012, Decreto 1074/2015 y la Política de Gobierno Digital) es una determinación institucional/jurídica que este documento no asume — ver nota en `politica-tratamiento-datos.md`.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