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3366"/>
          <w:sz w:val="48"/>
        </w:rPr>
        <w:t>Política de tratamiento de datos personales (borrador técnico)</w:t>
      </w:r>
    </w:p>
    <w:p/>
    <w:p>
      <w:pPr>
        <w:pStyle w:val="Heading1"/>
      </w:pPr>
      <w:r>
        <w:rPr>
          <w:sz w:val="36"/>
        </w:rPr>
        <w:t>Política de tratamiento de datos personales (borrador técnico)</w:t>
      </w:r>
    </w:p>
    <w:p>
      <w:r>
        <w:rPr>
          <w:b/>
        </w:rPr>
        <w:t>&gt; **REQUIERE VALIDACIÓN JURÍDICA/INSTITUCIONAL.** Este documento describe, desde el código, QUÉ hace Skynet con los datos personales que procesa. No es una política de tratamiento en el sentido del artículo 13 del Decreto 1074 de 2015 (que exige autoría/aprobación del responsable del tratamiento, un procedimiento formal de atención de peticiones, y frecuentemente registro/publicación) — sirve como insumo técnico para que la entidad la redacte y apruebe formalmente.</w:t>
      </w:r>
    </w:p>
    <w:p>
      <w:pPr>
        <w:pStyle w:val="Heading2"/>
      </w:pPr>
      <w:r>
        <w:rPr>
          <w:sz w:val="28"/>
        </w:rPr>
        <w:t>Responsable y encargado del tratamiento</w:t>
      </w:r>
    </w:p>
    <w:p>
      <w:r>
        <w:rPr>
          <w:b/>
        </w:rPr>
        <w:t>Terminal de Transportes de Neiva S.A. es quien opera Skynet y decide sobre los datos que contiene — es, en principio, el **responsable del tratamiento**. Determinar si además actúa como **encargado** respecto de algún dato de terceros, y si algún proveedor tecnológico (Google/Gemini, Cloudinary, el proveedor de correo transaccional) actúa como encargado con obligaciones contractuales específicas, es una decisión jurídica — **REQUIERE VALIDACIÓN JURÍDICA/INSTITUCIONAL**.</w:t>
      </w:r>
    </w:p>
    <w:p>
      <w:pPr>
        <w:pStyle w:val="Heading2"/>
      </w:pPr>
      <w:r>
        <w:rPr>
          <w:sz w:val="28"/>
        </w:rPr>
        <w:t>Datos que se tratan y finalidad</w:t>
      </w:r>
    </w:p>
    <w:p>
      <w:r>
        <w:rPr>
          <w:b/>
        </w:rPr>
        <w:t>Ver `inventario-datos.md` para el detalle técnico completo. En resumen, Skynet trata datos de **personal interno** (empleados/funcionarios del Terminal que usan el sistema), no de usuarios externos/ciudadanos — no hay registro público ni recolección de datos de terceros ajenos a la organización. Las finalidades observadas en el código son operativas: gestión de accesos (`Usuario`), gestión de ausencias/incapacidades (`Ausencia`), reporte de daños (`ReporteDano`), compras/servicios (`Requerimiento`), trazabilidad (`RegistroAuditoria`), notificaciones (`EnvioNotificacion`/`PushSubscription`) y un asistente de IA de uso interno (`ConversacionCopiloto`/`MemoriaCopiloto`).</w:t>
      </w:r>
    </w:p>
    <w:p>
      <w:pPr>
        <w:pStyle w:val="Heading2"/>
      </w:pPr>
      <w:r>
        <w:rPr>
          <w:sz w:val="28"/>
        </w:rPr>
        <w:t>Principios aplicados (Ley 1581 art. 4) — estado técnico</w:t>
      </w:r>
    </w:p>
    <w:p>
      <w:r>
        <w:t>| Principio | Cómo se aplica hoy | Estado |</w:t>
      </w:r>
    </w:p>
    <w:p>
      <w:r>
        <w:t>|---|---|---|</w:t>
      </w:r>
    </w:p>
    <w:p>
      <w:r>
        <w:t>| Legalidad | Tratamiento enmarcado en la relación laboral/administrativa con el Terminal, no hay recolección al margen del sistema | REQUIERE VALIDACIÓN JURÍDICA (confirmar base de legitimación formal) |</w:t>
      </w:r>
    </w:p>
    <w:p>
      <w:r>
        <w:t>| Finalidad | Cada colección tiene un propósito operativo identificable (ver inventario) | CUMPLE (técnico) |</w:t>
      </w:r>
    </w:p>
    <w:p>
      <w:r>
        <w:t>| Libertad | No hay recolección de datos personales sin que la persona interactúe con el sistema como parte de su función | CUMPLE (técnico) |</w:t>
      </w:r>
    </w:p>
    <w:p>
      <w:r>
        <w:t>| Veracidad/calidad | Validación de formato en la mayoría de campos (email con `match` a nivel de schema, ver `matriz-seguridad.md`); sin verificación de identidad externa | PARCIAL |</w:t>
      </w:r>
    </w:p>
    <w:p>
      <w:r>
        <w:t>| Transparencia | No existe hoy una política de privacidad publicada dentro de la aplicación | PENDIENTE — ver `politica-privacidad.md` |</w:t>
      </w:r>
    </w:p>
    <w:p>
      <w:r>
        <w:t>| Acceso y circulación restringida | RBAC granular + revalidación de permisos contra BD en cada request (`middleware/auth.js`); `/storage` ahora requiere sesión (corregido 2026-08-18) | CUMPLE (técnico) |</w:t>
      </w:r>
    </w:p>
    <w:p>
      <w:r>
        <w:t>| Seguridad | Ver `matriz-seguridad.md` y `arquitectura-seguridad.md` | PARCIAL (mejorado significativamente esta sesión) |</w:t>
      </w:r>
    </w:p>
    <w:p>
      <w:r>
        <w:t>| Confidencialidad | Contraseñas con bcrypt, tokens de un solo uso hasheados, cookie httpOnly | CUMPLE (técnico) |</w:t>
      </w:r>
    </w:p>
    <w:p>
      <w:pPr>
        <w:pStyle w:val="Heading2"/>
      </w:pPr>
      <w:r>
        <w:rPr>
          <w:sz w:val="28"/>
        </w:rPr>
        <w:t>Derechos de los titulares (Habeas Data)</w:t>
      </w:r>
    </w:p>
    <w:p>
      <w:r>
        <w:t>| Derecho | Mecanismo técnico existente | Estado |</w:t>
      </w:r>
    </w:p>
    <w:p>
      <w:r>
        <w:t>|---|---|---|</w:t>
      </w:r>
    </w:p>
    <w:p>
      <w:r>
        <w:t>| Conocer, actualizar, rectificar | `PUT /api/usuarios/:id` (un admin edita), `PUT /api/perfil` (autoservicio de datos propios, firma) | PARCIAL — falta un flujo explícito de "solicitud de corrección" para datos que el propio usuario no puede editar (p. ej. su rol o su historial) |</w:t>
      </w:r>
    </w:p>
    <w:p>
      <w:r>
        <w:t>| Solicitar prueba de la autorización | No aplica en el sentido de consentimiento de terceros (son datos de personal interno) | REQUIERE VALIDACIÓN JURÍDICA |</w:t>
      </w:r>
    </w:p>
    <w:p>
      <w:r>
        <w:t>| Ser informado del uso | No hay política de privacidad visible en la app | PENDIENTE |</w:t>
      </w:r>
    </w:p>
    <w:p>
      <w:r>
        <w:t>| Revocar autorización / solicitar supresión | `eliminarUsuario` hace borrado físico (hard delete); no hay flujo de "solicitud de supresión" separado con las salvedades legales (retención por obligación contable/laboral) | PENDIENTE — implementar un procedimiento, no un botón de autoborrado sin control |</w:t>
      </w:r>
    </w:p>
    <w:p>
      <w:r>
        <w:t>| Acceder gratuitamente | No hay endpoint de "descarga mis datos" | PENDIENTE |</w:t>
      </w:r>
    </w:p>
    <w:p>
      <w:r>
        <w:t>| Presentar quejas ante la SIC | Depende de si la entidad debe registrarse en el RNBD de la SIC | REQUIERE VALIDACIÓN JURÍDICA/INSTITUCIONAL |</w:t>
      </w:r>
    </w:p>
    <w:p>
      <w:pPr>
        <w:pStyle w:val="Heading2"/>
      </w:pPr>
      <w:r>
        <w:rPr>
          <w:sz w:val="28"/>
        </w:rPr>
        <w:t>Transferencia/transmisión a terceros</w:t>
      </w:r>
    </w:p>
    <w:p>
      <w:pPr>
        <w:pStyle w:val="ListBullet"/>
      </w:pPr>
      <w:r>
        <w:t>**Google (Gemini)**: el copiloto de IA envía nombre de usuario, rol y resultados acotados de herramientas (nunca el volcado de una base de datos) a la API de Gemini — ver `ia-uso-responsable.md`. Si esto constituye una "transferencia internacional de datos personales" en el sentido de la Ley 1581 y si se requiere un DPA/cláusulas contractuales con Google — **REQUIERE VALIDACIÓN JURÍDICA/INSTITUCIONAL**.</w:t>
      </w:r>
    </w:p>
    <w:p>
      <w:pPr>
        <w:pStyle w:val="ListBullet"/>
      </w:pPr>
      <w:r>
        <w:t>**Cloudinary**: almacena imágenes (fotos de daños, evidencias, firmas, soportes médicos). Mismo punto — **REQUIERE VALIDACIÓN JURÍDICA/INSTITUCIONAL** sobre el contrato/DPA vigente con ese proveedor.</w:t>
      </w:r>
    </w:p>
    <w:p>
      <w:pPr>
        <w:pStyle w:val="ListBullet"/>
      </w:pPr>
      <w:r>
        <w:t>**Proveedor de correo transaccional** (SMTP configurado vía `EMAIL_HOST`): transporta correos con datos personales (nombre, a veces motivo de una solicitud). Mismo punto.</w:t>
      </w:r>
    </w:p>
    <w:p>
      <w:pPr>
        <w:pStyle w:val="Heading2"/>
      </w:pPr>
      <w:r>
        <w:rPr>
          <w:sz w:val="28"/>
        </w:rPr>
        <w:t>Pendiente para que esta política sea publicable</w:t>
      </w:r>
    </w:p>
    <w:p>
      <w:pPr>
        <w:pStyle w:val="ListNumber"/>
      </w:pPr>
      <w:r>
        <w:t>Que la entidad determine su naturaleza jurídica y el régimen aplicable (pública/privada/mixta) — define si aplica además la normativa de transparencia y Gobierno Digital con todo su peso.</w:t>
      </w:r>
    </w:p>
    <w:p>
      <w:pPr>
        <w:pStyle w:val="ListNumber"/>
      </w:pPr>
      <w:r>
        <w:t>Redacción formal y aprobación de la Política de Tratamiento de Datos Personales y su publicación (Decreto 1074/2015 art. 2.2.2.25.3.1).</w:t>
      </w:r>
    </w:p>
    <w:p>
      <w:pPr>
        <w:pStyle w:val="ListNumber"/>
      </w:pPr>
      <w:r>
        <w:t>Definir el procedimiento de atención de peticiones, consultas y reclamos (quién lo atiende, en qué plazo).</w:t>
      </w:r>
    </w:p>
    <w:p>
      <w:pPr>
        <w:pStyle w:val="ListNumber"/>
      </w:pPr>
      <w:r>
        <w:t>Revisar los contratos/DPA con Google, Cloudinary y el proveedor de correo.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