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line="276"/>
        <w:jc w:val="center"/>
      </w:pPr>
      <w:r>
        <w:rPr>
          <w:rFonts w:ascii="Arial" w:cs="Arial" w:eastAsia="Arial" w:hAnsi="Arial"/>
          <w:b/>
          <w:bCs/>
          <w:i w:val="false"/>
          <w:iCs w:val="false"/>
          <w:color w:val="000000"/>
          <w:sz w:val="28"/>
          <w:szCs w:val="28"/>
        </w:rPr>
        <w:t xml:space="preserve">CONTRATO DE CONFIDENCIALIDAD, PROTECCIÓN DE INFORMACIÓN</w:t>
      </w:r>
    </w:p>
    <w:p>
      <w:pPr>
        <w:spacing w:after="240" w:line="276"/>
        <w:jc w:val="center"/>
      </w:pPr>
      <w:r>
        <w:rPr>
          <w:rFonts w:ascii="Arial" w:cs="Arial" w:eastAsia="Arial" w:hAnsi="Arial"/>
          <w:b/>
          <w:bCs/>
          <w:i w:val="false"/>
          <w:iCs w:val="false"/>
          <w:color w:val="000000"/>
          <w:sz w:val="28"/>
          <w:szCs w:val="28"/>
        </w:rPr>
        <w:t xml:space="preserve">Y TRATAMIENTO DE DATOS PERSONALES</w:t>
      </w:r>
    </w:p>
    <w:p>
      <w:pPr>
        <w:spacing w:after="400" w:line="276"/>
        <w:jc w:val="center"/>
      </w:pPr>
      <w:r>
        <w:rPr>
          <w:rFonts w:ascii="Arial" w:cs="Arial" w:eastAsia="Arial" w:hAnsi="Arial"/>
          <w:b/>
          <w:bCs/>
          <w:i w:val="false"/>
          <w:iCs w:val="false"/>
          <w:color w:val="000000"/>
          <w:sz w:val="24"/>
          <w:szCs w:val="24"/>
        </w:rPr>
        <w:t xml:space="preserve">ZIPP</w:t>
      </w:r>
    </w:p>
    <w:p>
      <w:pPr>
        <w:spacing w:after="100" w:line="276"/>
        <w:jc w:val="center"/>
      </w:pPr>
      <w:r>
        <w:rPr>
          <w:rFonts w:ascii="Arial" w:cs="Arial" w:eastAsia="Arial" w:hAnsi="Arial"/>
          <w:b w:val="false"/>
          <w:bCs w:val="false"/>
          <w:i w:val="false"/>
          <w:iCs w:val="false"/>
          <w:color w:val="595959"/>
          <w:sz w:val="22"/>
          <w:szCs w:val="22"/>
        </w:rPr>
        <w:t xml:space="preserve">Documento modelo — Colombia, 2026</w:t>
      </w:r>
    </w:p>
    <w:p>
      <w:pPr>
        <w:spacing w:after="400" w:line="276"/>
        <w:jc w:val="center"/>
      </w:pPr>
      <w:r>
        <w:rPr>
          <w:rFonts w:ascii="Arial" w:cs="Arial" w:eastAsia="Arial" w:hAnsi="Arial"/>
          <w:b w:val="false"/>
          <w:bCs w:val="false"/>
          <w:i w:val="false"/>
          <w:iCs w:val="false"/>
          <w:color w:val="595959"/>
          <w:sz w:val="18"/>
          <w:szCs w:val="18"/>
        </w:rPr>
        <w:t xml:space="preserve">Contiene: análisis jurídico, contrato, matriz de adaptación, checklist de firma y fuentes.</w:t>
      </w:r>
    </w:p>
    <w:p>
      <w:pPr>
        <w:spacing w:before="600" w:line="276"/>
        <w:jc w:val="both"/>
      </w:pPr>
      <w:r>
        <w:rPr>
          <w:rFonts w:ascii="Arial" w:cs="Arial" w:eastAsia="Arial" w:hAnsi="Arial"/>
          <w:b w:val="false"/>
          <w:bCs w:val="false"/>
          <w:i/>
          <w:iCs/>
          <w:color w:val="595959"/>
          <w:sz w:val="18"/>
          <w:szCs w:val="18"/>
        </w:rPr>
        <w:t xml:space="preserve">Documento de trabajo elaborado con apoyo de investigación jurídica automatizada, a partir de fuentes oficiales colombianas. No constituye asesoría legal definitiva ni sustituye la revisión de un abogado antes de su firma o adaptación a un caso concreto.</w:t>
      </w:r>
    </w:p>
    <w:p>
      <w:r>
        <w:br w:type="page"/>
      </w:r>
    </w:p>
    <w:p>
      <w:pPr>
        <w:keepNext/>
        <w:spacing w:after="160" w:before="240" w:line="276"/>
        <w:jc w:val="left"/>
      </w:pPr>
      <w:r>
        <w:rPr>
          <w:rFonts w:ascii="Arial" w:cs="Arial" w:eastAsia="Arial" w:hAnsi="Arial"/>
          <w:b/>
          <w:bCs/>
          <w:i w:val="false"/>
          <w:iCs w:val="false"/>
          <w:color w:val="000000"/>
          <w:sz w:val="28"/>
          <w:szCs w:val="28"/>
        </w:rPr>
        <w:t xml:space="preserve">PARTE 1 — ANÁLISIS JURÍDICO PREVIO</w:t>
      </w:r>
    </w:p>
    <w:p>
      <w:pPr>
        <w:spacing w:after="120" w:line="276"/>
        <w:jc w:val="both"/>
      </w:pPr>
      <w:r>
        <w:rPr>
          <w:rFonts w:ascii="Arial" w:cs="Arial" w:eastAsia="Arial" w:hAnsi="Arial"/>
          <w:b w:val="false"/>
          <w:bCs w:val="false"/>
          <w:i w:val="false"/>
          <w:iCs w:val="false"/>
          <w:color w:val="000000"/>
          <w:sz w:val="22"/>
          <w:szCs w:val="22"/>
        </w:rPr>
        <w:t xml:space="preserve">Antes de redactar el contrato se investigó la legislación colombiana vigente aplicable a la confidencialidad, los secretos empresariales, los datos personales y la firma electrónica, priorizando fuentes oficiales (Función Pública, SUIN-Juriscol, Secretaría del Senado y Superintendencia de Industria y Comercio — SIC). El detalle de cada fuente, con enlace oficial, está en la Parte 5.</w:t>
      </w:r>
    </w:p>
    <w:p>
      <w:pPr>
        <w:spacing w:after="120" w:line="276"/>
        <w:jc w:val="both"/>
      </w:pPr>
      <w:r>
        <w:rPr>
          <w:rFonts w:ascii="Arial" w:cs="Arial" w:eastAsia="Arial" w:hAnsi="Arial"/>
          <w:b w:val="false"/>
          <w:bCs w:val="false"/>
          <w:i w:val="false"/>
          <w:iCs w:val="false"/>
          <w:color w:val="000000"/>
          <w:sz w:val="22"/>
          <w:szCs w:val="22"/>
        </w:rPr>
        <w:t xml:space="preserve">Decisiones jurídicas relevantes tomadas para este modelo: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Se diferencia expresamente información confidencial empresarial (protegida por la Decisión 486 de 2000 y la Ley 256 de 1996) de datos personales (protegidos por la Ley 1581 de 2012), porque su régimen legal y sus obligaciones son distintos, aunque en este documento se traten en un mismo instrumento por razones prácticas.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No se incluye cláusula de no competencia poslaboral ni restricción genérica de trabajar con competidores: eso excede el objeto de un NDA, requiere contraprestación económica y un análisis de proporcionalidad independiente (especialmente en relaciones laborales). Solo se prohíbe el uso indebido de la información confidencial de ZIPP, no la competencia en sí misma.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No se fijan plazos de notificación de incidentes de seguridad que la ley imponga directamente a la contraparte; el plazo de la Cláusula Séptima es una obligación contractual pactada entre las partes, no un término de origen legal.</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No se pactan multas automáticas ni sanciones de naturaleza penal. Se deja abierta, como cláusula opcional y explicada, la posibilidad de pactar una cláusula penal (art. 1592 C.C.) proporcional, remitiendo a asesoría legal para fijar el monto o la fórmula.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La Ley 1266 de 2008 (habeas data financiero) se referencia por completitud, pero solo aplica si existe reporte a operadores de información financiera o centrales de riesgo; el régimen general de los datos que maneja ZIPP (usuarios, comercios, domiciliarios) es el de la Ley 1581 de 2012.</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f)	</w:t>
      </w:r>
      <w:r>
        <w:rPr>
          <w:rFonts w:ascii="Arial" w:cs="Arial" w:eastAsia="Arial" w:hAnsi="Arial"/>
          <w:b w:val="false"/>
          <w:bCs w:val="false"/>
          <w:i w:val="false"/>
          <w:iCs w:val="false"/>
          <w:color w:val="000000"/>
          <w:sz w:val="22"/>
          <w:szCs w:val="22"/>
        </w:rPr>
        <w:t xml:space="preserve">El deber de reserva de los trabajadores ya existe por ley (art. 58-2 C.S.T.); este NDA lo complementa y lo hace explícito y verificable, pero no lo reemplaza ni necesita reemplazarlo.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g)	</w:t>
      </w:r>
      <w:r>
        <w:rPr>
          <w:rFonts w:ascii="Arial" w:cs="Arial" w:eastAsia="Arial" w:hAnsi="Arial"/>
          <w:b w:val="false"/>
          <w:bCs w:val="false"/>
          <w:i w:val="false"/>
          <w:iCs w:val="false"/>
          <w:color w:val="000000"/>
          <w:sz w:val="22"/>
          <w:szCs w:val="22"/>
        </w:rPr>
        <w:t xml:space="preserve">El documento se diseña como modelo adaptable, no como plantilla única: la Parte 3 identifica qué cláusulas deben ajustarse según el tipo de contraparte.</w:t>
      </w:r>
    </w:p>
    <w:p>
      <w:pPr>
        <w:keepNext/>
        <w:spacing w:after="100" w:before="200" w:line="276"/>
      </w:pPr>
      <w:r>
        <w:rPr>
          <w:rFonts w:ascii="Arial" w:cs="Arial" w:eastAsia="Arial" w:hAnsi="Arial"/>
          <w:b/>
          <w:bCs/>
          <w:i w:val="false"/>
          <w:iCs w:val="false"/>
          <w:color w:val="000000"/>
          <w:sz w:val="24"/>
          <w:szCs w:val="24"/>
        </w:rPr>
        <w:t xml:space="preserve">Cuadro normativo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3050"/>
        <w:gridCol w:w="3050"/>
      </w:tblGrid>
      <w:tr>
        <w:tc>
          <w:tcPr>
            <w:tcW w:type="dxa" w:w="1750"/>
            <w:shd w:fill="D9D9D9" w:val="clear"/>
            <w:tcMar>
              <w:top w:type="dxa" w:w="80"/>
              <w:left w:type="dxa" w:w="100"/>
              <w:bottom w:type="dxa" w:w="80"/>
              <w:right w:type="dxa" w:w="100"/>
            </w:tcMar>
          </w:tcPr>
          <w:p>
            <w:r>
              <w:rPr>
                <w:rFonts w:ascii="Arial" w:cs="Arial" w:eastAsia="Arial" w:hAnsi="Arial"/>
                <w:b/>
                <w:bCs/>
                <w:i w:val="false"/>
                <w:iCs w:val="false"/>
                <w:color w:val="000000"/>
                <w:sz w:val="18"/>
                <w:szCs w:val="18"/>
              </w:rPr>
              <w:t xml:space="preserve">Norma</w:t>
            </w:r>
          </w:p>
        </w:tc>
        <w:tc>
          <w:tcPr>
            <w:tcW w:type="dxa" w:w="1500"/>
            <w:shd w:fill="D9D9D9" w:val="clear"/>
            <w:tcMar>
              <w:top w:type="dxa" w:w="80"/>
              <w:left w:type="dxa" w:w="100"/>
              <w:bottom w:type="dxa" w:w="80"/>
              <w:right w:type="dxa" w:w="100"/>
            </w:tcMar>
          </w:tcPr>
          <w:p>
            <w:r>
              <w:rPr>
                <w:rFonts w:ascii="Arial" w:cs="Arial" w:eastAsia="Arial" w:hAnsi="Arial"/>
                <w:b/>
                <w:bCs/>
                <w:i w:val="false"/>
                <w:iCs w:val="false"/>
                <w:color w:val="000000"/>
                <w:sz w:val="18"/>
                <w:szCs w:val="18"/>
              </w:rPr>
              <w:t xml:space="preserve">Artículo relevante</w:t>
            </w:r>
          </w:p>
        </w:tc>
        <w:tc>
          <w:tcPr>
            <w:tcW w:type="dxa" w:w="3050"/>
            <w:shd w:fill="D9D9D9" w:val="clear"/>
            <w:tcMar>
              <w:top w:type="dxa" w:w="80"/>
              <w:left w:type="dxa" w:w="100"/>
              <w:bottom w:type="dxa" w:w="80"/>
              <w:right w:type="dxa" w:w="100"/>
            </w:tcMar>
          </w:tcPr>
          <w:p>
            <w:r>
              <w:rPr>
                <w:rFonts w:ascii="Arial" w:cs="Arial" w:eastAsia="Arial" w:hAnsi="Arial"/>
                <w:b/>
                <w:bCs/>
                <w:i w:val="false"/>
                <w:iCs w:val="false"/>
                <w:color w:val="000000"/>
                <w:sz w:val="18"/>
                <w:szCs w:val="18"/>
              </w:rPr>
              <w:t xml:space="preserve">Qué regula</w:t>
            </w:r>
          </w:p>
        </w:tc>
        <w:tc>
          <w:tcPr>
            <w:tcW w:type="dxa" w:w="3050"/>
            <w:shd w:fill="D9D9D9" w:val="clear"/>
            <w:tcMar>
              <w:top w:type="dxa" w:w="80"/>
              <w:left w:type="dxa" w:w="100"/>
              <w:bottom w:type="dxa" w:w="80"/>
              <w:right w:type="dxa" w:w="100"/>
            </w:tcMar>
          </w:tcPr>
          <w:p>
            <w:r>
              <w:rPr>
                <w:rFonts w:ascii="Arial" w:cs="Arial" w:eastAsia="Arial" w:hAnsi="Arial"/>
                <w:b/>
                <w:bCs/>
                <w:i w:val="false"/>
                <w:iCs w:val="false"/>
                <w:color w:val="000000"/>
                <w:sz w:val="18"/>
                <w:szCs w:val="18"/>
              </w:rPr>
              <w:t xml:space="preserve">Cómo afecta al contrato</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Ley 1581 de 2012</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3, 4, 17, 18 y 23</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Régimen general de protección de datos personales: definiciones, principios (finalidad, seguridad, confidencialidad) y deberes del Encargado del Tratamiento.</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Fundamenta la Cláusula Cuarta (datos personales) y la Cláusula Sexta (seguridad); el principio de confidencialidad del art. 4 sustenta que la reserva sobrevive a la relación contractual.</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Decreto 1074 de 2015</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2.2.2.25.2.1, 2.2.2.25.3.1, 2.2.2.25.5.2 y 2.2.2.25.6.1</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Reglamenta la Ley 1581: requisitos de la autorización, contenido del aviso de privacidad, contrato de transmisión de datos entre Responsable y Encargado, y medidas de seguridad.</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Sustenta que, cuando LA CONTRAPARTE trate datos por cuenta de ZIPP, este NDA opera como (o se complementa con) el contrato de transmisión de datos exigido al Encargado (Cláusula Cuarta).</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Ley 1266 de 2008</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1 y 3</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Habeas data financiero: administración de información financiera, crediticia, comercial y de servicios reportada a operadores y centrales de riesgo.</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Aplica solo si ZIPP o la contraparte reportan información a operadores de información financiera; no es el régimen general de los datos de usuarios/comercios/domiciliarios (ese es el de la Ley 1581).</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Ley 527 de 1999</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2, 5 y 10</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Comercio electrónico y mensajes de datos: define mensaje de datos y firma digital, consagra la equivalencia funcional y la fuerza probatoria del documento electrónico.</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Sustenta la validez de la suscripción electrónica del contrato y el envío de anexos y notificaciones por medios digitales (Cláusulas de Firma y de Notificaciones).</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Decreto 2364 de 2012</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1 a 6</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Reglamenta la firma electrónica: definición, neutralidad tecnológica, requisitos de confiabilidad y efectos jurídicos equivalentes a la firma manuscrita.</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Permite suscribir el NDA mediante plataformas de firma electrónica con plena validez jurídica (Cláusula de Firma).</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Ley 23 de 1982</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2, 20, 91, 92 y 182</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Régimen general de derechos de autor: protección del software como obra literaria; titularidad de derechos patrimoniales en obras por encargo o contrato de servicios.</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Sustenta que el código fuente, la documentación técnica y demás obras entregadas a la contraparte siguen perteneciendo a ZIPP y que el acceso no transfiere derechos de autor (Cláusula Octava).</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Ley 256 de 1996</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 16</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Competencia desleal: tipifica como conducta desleal la divulgación o explotación no autorizada de secretos empresariales, y su obtención por espionaje.</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Fundamenta la prohibición de usos indebidos y la eventual acción de competencia desleal ante incumplimiento (Cláusulas Décima y Décima Tercera).</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Decisión 486 de 2000 (Comunidad Andina)</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260 y 262</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Define el secreto empresarial (información no divulgada, con valor comercial, protegida por medidas razonables) y describe los actos que constituyen su violación.</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Es la base jurídica de la definición de “Información Confidencial” del contrato (Cláusula Tercera) y del estándar de “medidas razonables” que ZIPP debe demostrar haber adoptado.</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Ley 57 de 1887 — Código Civil</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Arts. 1592, 1602 y 1603</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penal (tasación anticipada y convencional de perjuicios), fuerza obligatoria de los contratos y ejecución de buena fe.</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Sustenta el carácter vinculante del NDA, la eventual cláusula penal y la indemnización de perjuicios por incumplimiento (Cláusula Décima Tercera).</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Decreto 410 de 1971 — Código de Comercio</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 871</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Principio de buena fe mercantil: los contratos obligan no solo a lo pactado, sino a todo lo que corresponda a su naturaleza según la ley, la costumbre y la equidad.</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Aplica cuando la contraparte es comerciante (comercios afiliados, proveedores, aliados) y refuerza la interpretación de buena fe del NDA.</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Decreto 2663 de 1950 — Código Sustantivo del Trabajo</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Art. 58, numeral 2</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Obligaciones especiales del trabajador: no comunicar a terceros información reservada de la empresa, conocida por razón del trabajo.</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El deber de reserva del trabajador ya existe por ley; el NDA lo complementa y lo hace explícito, pero no lo reemplaza (ver matriz de adaptación, fila Trabajador).</w:t>
            </w:r>
          </w:p>
        </w:tc>
      </w:tr>
      <w:tr>
        <w:tc>
          <w:tcPr>
            <w:tcW w:type="dxa" w:w="17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Ley 1563 de 2012</w:t>
            </w:r>
          </w:p>
        </w:tc>
        <w:tc>
          <w:tcPr>
            <w:tcW w:type="dxa" w:w="15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Integral</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Estatuto de Arbitraje Nacional e Internacional.</w:t>
            </w:r>
          </w:p>
        </w:tc>
        <w:tc>
          <w:tcPr>
            <w:tcW w:type="dxa" w:w="30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Sustenta la cláusula opcional de arbitraje en la solución de controversias (Cláusula Décima Sexta), si las partes deciden pactarla.</w:t>
            </w:r>
          </w:p>
        </w:tc>
      </w:tr>
    </w:tbl>
    <w:p>
      <w:pPr>
        <w:spacing w:before="160"/>
      </w:pPr>
    </w:p>
    <w:p>
      <w:pPr>
        <w:keepNext/>
        <w:spacing w:after="100" w:before="200" w:line="276"/>
      </w:pPr>
      <w:r>
        <w:rPr>
          <w:rFonts w:ascii="Arial" w:cs="Arial" w:eastAsia="Arial" w:hAnsi="Arial"/>
          <w:b/>
          <w:bCs/>
          <w:i w:val="false"/>
          <w:iCs w:val="false"/>
          <w:color w:val="000000"/>
          <w:sz w:val="24"/>
          <w:szCs w:val="24"/>
        </w:rPr>
        <w:t xml:space="preserve">Conceptos de la Superintendencia de Industria y Comercio (SIC)</w:t>
      </w:r>
    </w:p>
    <w:p>
      <w:pPr>
        <w:spacing w:after="120" w:line="276"/>
        <w:jc w:val="both"/>
      </w:pPr>
      <w:r>
        <w:rPr>
          <w:rFonts w:ascii="Arial" w:cs="Arial" w:eastAsia="Arial" w:hAnsi="Arial"/>
          <w:b w:val="false"/>
          <w:bCs w:val="false"/>
          <w:i w:val="false"/>
          <w:iCs w:val="false"/>
          <w:color w:val="000000"/>
          <w:sz w:val="22"/>
          <w:szCs w:val="22"/>
        </w:rPr>
        <w:t xml:space="preserve">Los conceptos de la SIC confirman dos criterios incorporados a este contrato: (i) el secreto empresarial no es susceptible de registro público en Colombia — su protección es contractual, no registral —, por lo que el mecanismo de protección de ZIPP debe ser este tipo de documento; y (ii) el responsable del tratamiento de datos debe demostrar la adopción de medidas de seguridad razonables y proporcionales al riesgo, criterio que se incorporó a las Cláusulas Tercera, Cuarta y Sexta.</w:t>
      </w:r>
    </w:p>
    <w:p>
      <w:r>
        <w:br w:type="page"/>
      </w:r>
    </w:p>
    <w:p>
      <w:pPr>
        <w:keepNext/>
        <w:spacing w:after="160" w:before="0" w:line="276"/>
        <w:jc w:val="left"/>
      </w:pPr>
      <w:r>
        <w:rPr>
          <w:rFonts w:ascii="Arial" w:cs="Arial" w:eastAsia="Arial" w:hAnsi="Arial"/>
          <w:b/>
          <w:bCs/>
          <w:i w:val="false"/>
          <w:iCs w:val="false"/>
          <w:color w:val="000000"/>
          <w:sz w:val="28"/>
          <w:szCs w:val="28"/>
        </w:rPr>
        <w:t xml:space="preserve">PARTE 2 — CONTRATO</w:t>
      </w:r>
    </w:p>
    <w:p>
      <w:pPr>
        <w:spacing w:after="120" w:line="276"/>
        <w:jc w:val="both"/>
      </w:pPr>
      <w:r>
        <w:rPr>
          <w:rFonts w:ascii="Arial" w:cs="Arial" w:eastAsia="Arial" w:hAnsi="Arial"/>
          <w:b w:val="false"/>
          <w:bCs w:val="false"/>
          <w:i w:val="false"/>
          <w:iCs w:val="false"/>
          <w:color w:val="000000"/>
          <w:sz w:val="22"/>
          <w:szCs w:val="22"/>
        </w:rPr>
        <w:t xml:space="preserve">Listo para revisión jurídica y firma. Los campos entre corchetes [ ] deben completarse con la información real de las partes antes de suscribirlo.</w:t>
      </w:r>
    </w:p>
    <w:p>
      <w:pPr>
        <w:spacing w:before="200"/>
      </w:pPr>
    </w:p>
    <w:p>
      <w:pPr>
        <w:keepNext/>
        <w:spacing w:after="120" w:line="276"/>
        <w:jc w:val="center"/>
      </w:pPr>
      <w:r>
        <w:rPr>
          <w:rFonts w:ascii="Arial" w:cs="Arial" w:eastAsia="Arial" w:hAnsi="Arial"/>
          <w:b/>
          <w:bCs/>
          <w:i w:val="false"/>
          <w:iCs w:val="false"/>
          <w:color w:val="000000"/>
          <w:sz w:val="28"/>
          <w:szCs w:val="28"/>
        </w:rPr>
        <w:t xml:space="preserve">CONTRATO DE CONFIDENCIALIDAD, PROTECCIÓN DE INFORMACIÓN Y TRATAMIENTO DE DATOS PERSONALES</w:t>
      </w:r>
    </w:p>
    <w:p>
      <w:pPr>
        <w:keepNext/>
        <w:spacing w:after="280" w:line="276"/>
        <w:jc w:val="center"/>
      </w:pPr>
      <w:r>
        <w:rPr>
          <w:rFonts w:ascii="Arial" w:cs="Arial" w:eastAsia="Arial" w:hAnsi="Arial"/>
          <w:b/>
          <w:bCs/>
          <w:i w:val="false"/>
          <w:iCs w:val="false"/>
          <w:color w:val="000000"/>
          <w:sz w:val="24"/>
          <w:szCs w:val="24"/>
        </w:rPr>
        <w:t xml:space="preserve">ZIPP</w:t>
      </w:r>
    </w:p>
    <w:p>
      <w:pPr>
        <w:spacing w:after="120" w:line="276"/>
        <w:jc w:val="both"/>
      </w:pPr>
      <w:r>
        <w:rPr>
          <w:rFonts w:ascii="Arial" w:cs="Arial" w:eastAsia="Arial" w:hAnsi="Arial"/>
          <w:b w:val="false"/>
          <w:bCs w:val="false"/>
          <w:i w:val="false"/>
          <w:iCs w:val="false"/>
          <w:color w:val="000000"/>
          <w:sz w:val="22"/>
          <w:szCs w:val="22"/>
        </w:rPr>
        <w:t xml:space="preserve">Entre los suscritos, a saber: de una parte, [NOMBRE O RAZÓN SOCIAL DE ZIPP], sociedad identificada con NIT No. [__________], representada legalmente por [__________], con domicilio en [__________], correo electrónico [__________] y teléfono [__________], quien para efectos del presente contrato se denominará ZIPP; y de otra parte, [NOMBRE COMPLETO O RAZÓN SOCIAL DE LA CONTRAPARTE], identificado(a) con cédula de ciudadanía o NIT No. [__________], [representado(a) legalmente por __________, cuando aplique], con domicilio en [__________], correo electrónico [__________] y teléfono [__________], quien se vincula a ZIPP en calidad de [trabajador / contratista / asesor comercial / domiciliario / comercio afiliado / proveedor / aliado comercial — ver Parte 3 de este documento] y quien para efectos del presente contrato se denominará LA CONTRAPARTE, se celebra el presente CONTRATO DE CONFIDENCIALIDAD, PROTECCIÓN DE INFORMACIÓN Y TRATAMIENTO DE DATOS PERSONALES, el cual se regirá por las siguientes cláusulas, previas las siguientes consideraciones:</w:t>
      </w:r>
    </w:p>
    <w:p>
      <w:pPr>
        <w:keepNext/>
        <w:spacing w:after="100" w:before="200" w:line="276"/>
      </w:pPr>
      <w:r>
        <w:rPr>
          <w:rFonts w:ascii="Arial" w:cs="Arial" w:eastAsia="Arial" w:hAnsi="Arial"/>
          <w:b/>
          <w:bCs/>
          <w:i w:val="false"/>
          <w:iCs w:val="false"/>
          <w:color w:val="000000"/>
          <w:sz w:val="24"/>
          <w:szCs w:val="24"/>
        </w:rPr>
        <w:t xml:space="preserve">Antecedentes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	</w:t>
      </w:r>
      <w:r>
        <w:rPr>
          <w:rFonts w:ascii="Arial" w:cs="Arial" w:eastAsia="Arial" w:hAnsi="Arial"/>
          <w:b w:val="false"/>
          <w:bCs w:val="false"/>
          <w:i w:val="false"/>
          <w:iCs w:val="false"/>
          <w:color w:val="000000"/>
          <w:sz w:val="22"/>
          <w:szCs w:val="22"/>
        </w:rPr>
        <w:t xml:space="preserve">Que ZIPP es una plataforma tecnológica colombiana de domicilios y comercio electrónico que conecta usuarios, comercios afiliados (restaurantes, cafeterías, supermercados, farmacias y otros establecimientos), domiciliarios y aliados comerciales.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2.	</w:t>
      </w:r>
      <w:r>
        <w:rPr>
          <w:rFonts w:ascii="Arial" w:cs="Arial" w:eastAsia="Arial" w:hAnsi="Arial"/>
          <w:b w:val="false"/>
          <w:bCs w:val="false"/>
          <w:i w:val="false"/>
          <w:iCs w:val="false"/>
          <w:color w:val="000000"/>
          <w:sz w:val="22"/>
          <w:szCs w:val="22"/>
        </w:rPr>
        <w:t xml:space="preserve">Que en desarrollo de su objeto, ZIPP genera, administra y tiene acceso a información confidencial de carácter técnico, operativo, comercial y financiero, así como a datos personales de sus usuarios, comercios afiliados y domiciliarios.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3.	</w:t>
      </w:r>
      <w:r>
        <w:rPr>
          <w:rFonts w:ascii="Arial" w:cs="Arial" w:eastAsia="Arial" w:hAnsi="Arial"/>
          <w:b w:val="false"/>
          <w:bCs w:val="false"/>
          <w:i w:val="false"/>
          <w:iCs w:val="false"/>
          <w:color w:val="000000"/>
          <w:sz w:val="22"/>
          <w:szCs w:val="22"/>
        </w:rPr>
        <w:t xml:space="preserve">Que LA CONTRAPARTE, en razón de la relación que sostiene o sostendrá con ZIPP — laboral, de prestación de servicios, de afiliación comercial, de suministro o de alianza comercial, según corresponda —, tendrá acceso a información confidencial y/o a datos personales de titularidad de ZIPP o de terceros con los que ZIPP se relaciona.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4.	</w:t>
      </w:r>
      <w:r>
        <w:rPr>
          <w:rFonts w:ascii="Arial" w:cs="Arial" w:eastAsia="Arial" w:hAnsi="Arial"/>
          <w:b w:val="false"/>
          <w:bCs w:val="false"/>
          <w:i w:val="false"/>
          <w:iCs w:val="false"/>
          <w:color w:val="000000"/>
          <w:sz w:val="22"/>
          <w:szCs w:val="22"/>
        </w:rPr>
        <w:t xml:space="preserve">Que las partes desean regular contractualmente el acceso, uso, protección, tratamiento y devolución de dicha información, en los términos de la Ley 1581 de 2012, el Decreto 1074 de 2015, la Ley 256 de 1996, la Decisión 486 de 2000 de la Comunidad Andina, el Código Civil, el Código de Comercio y las demás normas citadas en la Parte 1 de este documento.</w:t>
      </w:r>
    </w:p>
    <w:p>
      <w:pPr>
        <w:keepNext/>
        <w:spacing w:after="120" w:before="240" w:line="276"/>
      </w:pPr>
      <w:r>
        <w:rPr>
          <w:rFonts w:ascii="Arial" w:cs="Arial" w:eastAsia="Arial" w:hAnsi="Arial"/>
          <w:b/>
          <w:bCs/>
          <w:i w:val="false"/>
          <w:iCs w:val="false"/>
          <w:color w:val="000000"/>
          <w:sz w:val="24"/>
          <w:szCs w:val="24"/>
        </w:rPr>
        <w:t xml:space="preserve">CLÁUSULA PRIMERA. DEFINICIONES.</w:t>
      </w:r>
    </w:p>
    <w:p>
      <w:pPr>
        <w:spacing w:after="120" w:line="276"/>
        <w:jc w:val="both"/>
      </w:pPr>
      <w:r>
        <w:rPr>
          <w:rFonts w:ascii="Arial" w:cs="Arial" w:eastAsia="Arial" w:hAnsi="Arial"/>
          <w:b/>
          <w:bCs/>
          <w:i w:val="false"/>
          <w:iCs w:val="false"/>
          <w:color w:val="000000"/>
          <w:sz w:val="22"/>
          <w:szCs w:val="22"/>
        </w:rPr>
        <w:t xml:space="preserve">ZIPP: </w:t>
      </w:r>
      <w:r>
        <w:rPr>
          <w:rFonts w:ascii="Arial" w:cs="Arial" w:eastAsia="Arial" w:hAnsi="Arial"/>
          <w:b w:val="false"/>
          <w:bCs w:val="false"/>
          <w:i w:val="false"/>
          <w:iCs w:val="false"/>
          <w:color w:val="000000"/>
          <w:sz w:val="22"/>
          <w:szCs w:val="22"/>
        </w:rPr>
        <w:t xml:space="preserve">la persona jurídica identificada en el encabezado de este contrato.</w:t>
      </w:r>
    </w:p>
    <w:p>
      <w:pPr>
        <w:spacing w:after="120" w:line="276"/>
        <w:jc w:val="both"/>
      </w:pPr>
      <w:r>
        <w:rPr>
          <w:rFonts w:ascii="Arial" w:cs="Arial" w:eastAsia="Arial" w:hAnsi="Arial"/>
          <w:b/>
          <w:bCs/>
          <w:i w:val="false"/>
          <w:iCs w:val="false"/>
          <w:color w:val="000000"/>
          <w:sz w:val="22"/>
          <w:szCs w:val="22"/>
        </w:rPr>
        <w:t xml:space="preserve">LA CONTRAPARTE: </w:t>
      </w:r>
      <w:r>
        <w:rPr>
          <w:rFonts w:ascii="Arial" w:cs="Arial" w:eastAsia="Arial" w:hAnsi="Arial"/>
          <w:b w:val="false"/>
          <w:bCs w:val="false"/>
          <w:i w:val="false"/>
          <w:iCs w:val="false"/>
          <w:color w:val="000000"/>
          <w:sz w:val="22"/>
          <w:szCs w:val="22"/>
        </w:rPr>
        <w:t xml:space="preserve">la persona natural o jurídica identificada en el encabezado de este contrato.</w:t>
      </w:r>
    </w:p>
    <w:p>
      <w:pPr>
        <w:spacing w:after="120" w:line="276"/>
        <w:jc w:val="both"/>
      </w:pPr>
      <w:r>
        <w:rPr>
          <w:rFonts w:ascii="Arial" w:cs="Arial" w:eastAsia="Arial" w:hAnsi="Arial"/>
          <w:b/>
          <w:bCs/>
          <w:i w:val="false"/>
          <w:iCs w:val="false"/>
          <w:color w:val="000000"/>
          <w:sz w:val="22"/>
          <w:szCs w:val="22"/>
        </w:rPr>
        <w:t xml:space="preserve">LAS PARTES: </w:t>
      </w:r>
      <w:r>
        <w:rPr>
          <w:rFonts w:ascii="Arial" w:cs="Arial" w:eastAsia="Arial" w:hAnsi="Arial"/>
          <w:b w:val="false"/>
          <w:bCs w:val="false"/>
          <w:i w:val="false"/>
          <w:iCs w:val="false"/>
          <w:color w:val="000000"/>
          <w:sz w:val="22"/>
          <w:szCs w:val="22"/>
        </w:rPr>
        <w:t xml:space="preserve">ZIPP y LA CONTRAPARTE, conjuntamente.</w:t>
      </w:r>
    </w:p>
    <w:p>
      <w:pPr>
        <w:spacing w:after="120" w:line="276"/>
        <w:jc w:val="both"/>
      </w:pPr>
      <w:r>
        <w:rPr>
          <w:rFonts w:ascii="Arial" w:cs="Arial" w:eastAsia="Arial" w:hAnsi="Arial"/>
          <w:b/>
          <w:bCs/>
          <w:i w:val="false"/>
          <w:iCs w:val="false"/>
          <w:color w:val="000000"/>
          <w:sz w:val="22"/>
          <w:szCs w:val="22"/>
        </w:rPr>
        <w:t xml:space="preserve">Información Confidencial: </w:t>
      </w:r>
      <w:r>
        <w:rPr>
          <w:rFonts w:ascii="Arial" w:cs="Arial" w:eastAsia="Arial" w:hAnsi="Arial"/>
          <w:b w:val="false"/>
          <w:bCs w:val="false"/>
          <w:i w:val="false"/>
          <w:iCs w:val="false"/>
          <w:color w:val="000000"/>
          <w:sz w:val="22"/>
          <w:szCs w:val="22"/>
        </w:rPr>
        <w:t xml:space="preserve">la definida en la Cláusula Tercera.</w:t>
      </w:r>
    </w:p>
    <w:p>
      <w:pPr>
        <w:spacing w:after="120" w:line="276"/>
        <w:jc w:val="both"/>
      </w:pPr>
      <w:r>
        <w:rPr>
          <w:rFonts w:ascii="Arial" w:cs="Arial" w:eastAsia="Arial" w:hAnsi="Arial"/>
          <w:b/>
          <w:bCs/>
          <w:i w:val="false"/>
          <w:iCs w:val="false"/>
          <w:color w:val="000000"/>
          <w:sz w:val="22"/>
          <w:szCs w:val="22"/>
        </w:rPr>
        <w:t xml:space="preserve">Datos Personales y Datos Personales Sensibles: </w:t>
      </w:r>
      <w:r>
        <w:rPr>
          <w:rFonts w:ascii="Arial" w:cs="Arial" w:eastAsia="Arial" w:hAnsi="Arial"/>
          <w:b w:val="false"/>
          <w:bCs w:val="false"/>
          <w:i w:val="false"/>
          <w:iCs w:val="false"/>
          <w:color w:val="000000"/>
          <w:sz w:val="22"/>
          <w:szCs w:val="22"/>
        </w:rPr>
        <w:t xml:space="preserve">los definidos en la Ley 1581 de 2012 y desarrollados en la Cláusula Cuarta.</w:t>
      </w:r>
    </w:p>
    <w:p>
      <w:pPr>
        <w:spacing w:after="120" w:line="276"/>
        <w:jc w:val="both"/>
      </w:pPr>
      <w:r>
        <w:rPr>
          <w:rFonts w:ascii="Arial" w:cs="Arial" w:eastAsia="Arial" w:hAnsi="Arial"/>
          <w:b/>
          <w:bCs/>
          <w:i w:val="false"/>
          <w:iCs w:val="false"/>
          <w:color w:val="000000"/>
          <w:sz w:val="22"/>
          <w:szCs w:val="22"/>
        </w:rPr>
        <w:t xml:space="preserve">Tratamiento: </w:t>
      </w:r>
      <w:r>
        <w:rPr>
          <w:rFonts w:ascii="Arial" w:cs="Arial" w:eastAsia="Arial" w:hAnsi="Arial"/>
          <w:b w:val="false"/>
          <w:bCs w:val="false"/>
          <w:i w:val="false"/>
          <w:iCs w:val="false"/>
          <w:color w:val="000000"/>
          <w:sz w:val="22"/>
          <w:szCs w:val="22"/>
        </w:rPr>
        <w:t xml:space="preserve">cualquier operación o conjunto de operaciones sobre datos personales, tales como la recolección, almacenamiento, uso, circulación o supresión (art. 3, Ley 1581 de 2012).</w:t>
      </w:r>
    </w:p>
    <w:p>
      <w:pPr>
        <w:spacing w:after="120" w:line="276"/>
        <w:jc w:val="both"/>
      </w:pPr>
      <w:r>
        <w:rPr>
          <w:rFonts w:ascii="Arial" w:cs="Arial" w:eastAsia="Arial" w:hAnsi="Arial"/>
          <w:b/>
          <w:bCs/>
          <w:i w:val="false"/>
          <w:iCs w:val="false"/>
          <w:color w:val="000000"/>
          <w:sz w:val="22"/>
          <w:szCs w:val="22"/>
        </w:rPr>
        <w:t xml:space="preserve">Incidente de Seguridad: </w:t>
      </w:r>
      <w:r>
        <w:rPr>
          <w:rFonts w:ascii="Arial" w:cs="Arial" w:eastAsia="Arial" w:hAnsi="Arial"/>
          <w:b w:val="false"/>
          <w:bCs w:val="false"/>
          <w:i w:val="false"/>
          <w:iCs w:val="false"/>
          <w:color w:val="000000"/>
          <w:sz w:val="22"/>
          <w:szCs w:val="22"/>
        </w:rPr>
        <w:t xml:space="preserve">todo evento que comprometa o pueda comprometer la confidencialidad, integridad o disponibilidad de la Información Confidencial o de los Datos Personales.</w:t>
      </w:r>
    </w:p>
    <w:p>
      <w:pPr>
        <w:keepNext/>
        <w:spacing w:after="120" w:before="240" w:line="276"/>
      </w:pPr>
      <w:r>
        <w:rPr>
          <w:rFonts w:ascii="Arial" w:cs="Arial" w:eastAsia="Arial" w:hAnsi="Arial"/>
          <w:b/>
          <w:bCs/>
          <w:i w:val="false"/>
          <w:iCs w:val="false"/>
          <w:color w:val="000000"/>
          <w:sz w:val="24"/>
          <w:szCs w:val="24"/>
        </w:rPr>
        <w:t xml:space="preserve">CLÁUSULA SEGUNDA. OBJETO.</w:t>
      </w:r>
    </w:p>
    <w:p>
      <w:pPr>
        <w:spacing w:after="120" w:line="276"/>
        <w:jc w:val="both"/>
      </w:pPr>
      <w:r>
        <w:rPr>
          <w:rFonts w:ascii="Arial" w:cs="Arial" w:eastAsia="Arial" w:hAnsi="Arial"/>
          <w:b w:val="false"/>
          <w:bCs w:val="false"/>
          <w:i w:val="false"/>
          <w:iCs w:val="false"/>
          <w:color w:val="000000"/>
          <w:sz w:val="22"/>
          <w:szCs w:val="22"/>
        </w:rPr>
        <w:t xml:space="preserve">El presente contrato tiene por objeto establecer las obligaciones de confidencialidad, protección de la información y tratamiento de datos personales que asume LA CONTRAPARTE frente a ZIPP y frente a los terceros cuya información ZIPP le confíe o a la que le dé acceso, en razón de la relación que las partes sostengan.</w:t>
      </w:r>
    </w:p>
    <w:p>
      <w:pPr>
        <w:keepNext/>
        <w:spacing w:after="120" w:before="240" w:line="276"/>
      </w:pPr>
      <w:r>
        <w:rPr>
          <w:rFonts w:ascii="Arial" w:cs="Arial" w:eastAsia="Arial" w:hAnsi="Arial"/>
          <w:b/>
          <w:bCs/>
          <w:i w:val="false"/>
          <w:iCs w:val="false"/>
          <w:color w:val="000000"/>
          <w:sz w:val="24"/>
          <w:szCs w:val="24"/>
        </w:rPr>
        <w:t xml:space="preserve">CLÁUSULA TERCERA. INFORMACIÓN CONFIDENCIAL.</w:t>
      </w:r>
    </w:p>
    <w:p>
      <w:pPr>
        <w:keepNext/>
        <w:spacing w:after="120" w:before="120" w:line="276"/>
      </w:pPr>
      <w:r>
        <w:rPr>
          <w:rFonts w:ascii="Arial" w:cs="Arial" w:eastAsia="Arial" w:hAnsi="Arial"/>
          <w:b/>
          <w:bCs/>
          <w:i w:val="false"/>
          <w:iCs w:val="false"/>
          <w:color w:val="000000"/>
          <w:sz w:val="22"/>
          <w:szCs w:val="22"/>
        </w:rPr>
        <w:t xml:space="preserve">3.1. Definición.</w:t>
      </w:r>
    </w:p>
    <w:p>
      <w:pPr>
        <w:spacing w:after="120" w:line="276"/>
        <w:jc w:val="both"/>
      </w:pPr>
      <w:r>
        <w:rPr>
          <w:rFonts w:ascii="Arial" w:cs="Arial" w:eastAsia="Arial" w:hAnsi="Arial"/>
          <w:b w:val="false"/>
          <w:bCs w:val="false"/>
          <w:i w:val="false"/>
          <w:iCs w:val="false"/>
          <w:color w:val="000000"/>
          <w:sz w:val="22"/>
          <w:szCs w:val="22"/>
        </w:rPr>
        <w:t xml:space="preserve">Se considera Información Confidencial, en los términos del art. 260 de la Decisión 486 de 2000, cualquier información no divulgada que posea legítimamente ZIPP, susceptible de uso en su actividad productiva o comercial, sobre la cual ZIPP haya adoptado medidas razonables para mantener su carácter reservado, y cuya divulgación o uso no autorizado pueda causarle un perjuicio.</w:t>
      </w:r>
    </w:p>
    <w:p>
      <w:pPr>
        <w:keepNext/>
        <w:spacing w:after="120" w:before="120" w:line="276"/>
      </w:pPr>
      <w:r>
        <w:rPr>
          <w:rFonts w:ascii="Arial" w:cs="Arial" w:eastAsia="Arial" w:hAnsi="Arial"/>
          <w:b/>
          <w:bCs/>
          <w:i w:val="false"/>
          <w:iCs w:val="false"/>
          <w:color w:val="000000"/>
          <w:sz w:val="22"/>
          <w:szCs w:val="22"/>
        </w:rPr>
        <w:t xml:space="preserve">3.2. Incluye, de forma enunciativa y no taxativa.</w:t>
      </w:r>
    </w:p>
    <w:p>
      <w:pPr>
        <w:spacing w:after="120" w:line="276"/>
        <w:jc w:val="both"/>
      </w:pPr>
      <w:r>
        <w:rPr>
          <w:rFonts w:ascii="Arial" w:cs="Arial" w:eastAsia="Arial" w:hAnsi="Arial"/>
          <w:b w:val="false"/>
          <w:bCs w:val="false"/>
          <w:i w:val="false"/>
          <w:iCs w:val="false"/>
          <w:color w:val="000000"/>
          <w:sz w:val="22"/>
          <w:szCs w:val="22"/>
        </w:rPr>
        <w:t xml:space="preserve">Código fuente; arquitectura del sistema; APIs; bases de datos; credenciales, claves y tokens; configuraciones de servidores e infraestructura; información de VPS y de repositorios (p. ej. GitHub); documentación técnica; algoritmos y lógica de negocio; modelos de operación; estrategias comerciales y de marketing; precios y comisiones; negociaciones y contratos; información de comercios, usuarios y domiciliarios; información financiera, contable y tributaria; información de proveedores y aliados; métricas y estadísticas; planes de expansión; información sobre nuevos productos y sobre ZIPP PRO; promociones y campañas; información no pública de clientes y comercios; credenciales y accesos a plataformas de terceros; documentación interna; diseños y prototipos; funcionalidades no publicadas; y, en general, cualquier secreto empresarial de ZIPP en los términos del art. 260 de la Decisión 486 de 2000.</w:t>
      </w:r>
    </w:p>
    <w:p>
      <w:pPr>
        <w:keepNext/>
        <w:spacing w:after="120" w:before="120" w:line="276"/>
      </w:pPr>
      <w:r>
        <w:rPr>
          <w:rFonts w:ascii="Arial" w:cs="Arial" w:eastAsia="Arial" w:hAnsi="Arial"/>
          <w:b/>
          <w:bCs/>
          <w:i w:val="false"/>
          <w:iCs w:val="false"/>
          <w:color w:val="000000"/>
          <w:sz w:val="22"/>
          <w:szCs w:val="22"/>
        </w:rPr>
        <w:t xml:space="preserve">3.3. No se considera Información Confidencial.</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La que sea o llegue a ser de dominio público sin que medie incumplimiento de este contrato.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La que LA CONTRAPARTE acredite haber conocido legítimamente antes de recibirla de ZIPP.</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La recibida legítimamente de un tercero que no esté sujeto a una obligación de confidencialidad respecto de esa información.</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La que deba revelarse por mandato legal o de autoridad judicial o administrativa competente, caso en el cual LA CONTRAPARTE deberá, en la medida en que la ley lo permita, informar a ZIPP con antelación razonable a la revelación.</w:t>
      </w:r>
    </w:p>
    <w:p>
      <w:pPr>
        <w:keepNext/>
        <w:spacing w:after="120" w:before="240" w:line="276"/>
      </w:pPr>
      <w:r>
        <w:rPr>
          <w:rFonts w:ascii="Arial" w:cs="Arial" w:eastAsia="Arial" w:hAnsi="Arial"/>
          <w:b/>
          <w:bCs/>
          <w:i w:val="false"/>
          <w:iCs w:val="false"/>
          <w:color w:val="000000"/>
          <w:sz w:val="24"/>
          <w:szCs w:val="24"/>
        </w:rPr>
        <w:t xml:space="preserve">CLÁUSULA CUARTA. DATOS PERSONALES.</w:t>
      </w:r>
    </w:p>
    <w:p>
      <w:pPr>
        <w:keepNext/>
        <w:spacing w:after="120" w:before="120" w:line="276"/>
      </w:pPr>
      <w:r>
        <w:rPr>
          <w:rFonts w:ascii="Arial" w:cs="Arial" w:eastAsia="Arial" w:hAnsi="Arial"/>
          <w:b/>
          <w:bCs/>
          <w:i w:val="false"/>
          <w:iCs w:val="false"/>
          <w:color w:val="000000"/>
          <w:sz w:val="22"/>
          <w:szCs w:val="22"/>
        </w:rPr>
        <w:t xml:space="preserve">4.1. Distinción de regímenes.</w:t>
      </w:r>
    </w:p>
    <w:p>
      <w:pPr>
        <w:spacing w:after="120" w:line="276"/>
        <w:jc w:val="both"/>
      </w:pPr>
      <w:r>
        <w:rPr>
          <w:rFonts w:ascii="Arial" w:cs="Arial" w:eastAsia="Arial" w:hAnsi="Arial"/>
          <w:b w:val="false"/>
          <w:bCs w:val="false"/>
          <w:i w:val="false"/>
          <w:iCs w:val="false"/>
          <w:color w:val="000000"/>
          <w:sz w:val="22"/>
          <w:szCs w:val="22"/>
        </w:rPr>
        <w:t xml:space="preserve">Para efectos de este contrato se distinguen tres categorías: (A) Información Confidencial empresarial, regulada por la Cláusula Tercera; (B) Datos Personales, esto es, cualquier información vinculada o que pueda asociarse a una o varias personas naturales determinadas o determinables (art. 3, Ley 1581 de 2012); y (C) Datos Personales Sensibles, aquellos que afectan la intimidad del titular o cuyo uso indebido puede generar discriminación, tales como el origen racial o étnico, la orientación política, las convicciones religiosas o filosóficas, la pertenencia a sindicatos, los datos relativos a la salud, a la vida sexual y los datos biométricos (art. 5, Ley 1581 de 2012).</w:t>
      </w:r>
    </w:p>
    <w:p>
      <w:pPr>
        <w:keepNext/>
        <w:spacing w:after="120" w:before="120" w:line="276"/>
      </w:pPr>
      <w:r>
        <w:rPr>
          <w:rFonts w:ascii="Arial" w:cs="Arial" w:eastAsia="Arial" w:hAnsi="Arial"/>
          <w:b/>
          <w:bCs/>
          <w:i w:val="false"/>
          <w:iCs w:val="false"/>
          <w:color w:val="000000"/>
          <w:sz w:val="22"/>
          <w:szCs w:val="22"/>
        </w:rPr>
        <w:t xml:space="preserve">4.2. Obligaciones frente a datos personales.</w:t>
      </w:r>
    </w:p>
    <w:p>
      <w:pPr>
        <w:spacing w:after="120" w:line="276"/>
        <w:jc w:val="both"/>
      </w:pPr>
      <w:r>
        <w:rPr>
          <w:rFonts w:ascii="Arial" w:cs="Arial" w:eastAsia="Arial" w:hAnsi="Arial"/>
          <w:b w:val="false"/>
          <w:bCs w:val="false"/>
          <w:i w:val="false"/>
          <w:iCs w:val="false"/>
          <w:color w:val="000000"/>
          <w:sz w:val="22"/>
          <w:szCs w:val="22"/>
        </w:rPr>
        <w:t xml:space="preserve">El acceso a Datos Personales o Datos Personales Sensibles no implica, en ningún caso, autorización para utilizarlos libremente. LA CONTRAPARTE se obliga 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Utilizarlos únicamente para las finalidades autorizadas por ZIPP y, cuando corresponda, por el titular del dato.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No venderlos, no copiarlos innecesariamente y no divulgarlos a terceros no autorizados.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No utilizarlos para fines personales ni para extraer, replicar o construir bases de datos propias con ellos.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Aplicar medidas de seguridad técnicas, humanas y administrativas razonables, conforme al principio de seguridad del art. 4 de la Ley 1581 de 2012.</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Reportar a ZIPP, sin dilación injustificada, cualquier Incidente de Seguridad relacionado con Datos Personales, en los términos de la Cláusula Séptima.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f)	</w:t>
      </w:r>
      <w:r>
        <w:rPr>
          <w:rFonts w:ascii="Arial" w:cs="Arial" w:eastAsia="Arial" w:hAnsi="Arial"/>
          <w:b w:val="false"/>
          <w:bCs w:val="false"/>
          <w:i w:val="false"/>
          <w:iCs w:val="false"/>
          <w:color w:val="000000"/>
          <w:sz w:val="22"/>
          <w:szCs w:val="22"/>
        </w:rPr>
        <w:t xml:space="preserve">Devolver, eliminar o dejar de utilizar los Datos Personales cuando ZIPP lo solicite o cuando finalice la relación entre las partes, salvo obligación legal de conservación en contrario.</w:t>
      </w:r>
    </w:p>
    <w:p>
      <w:pPr>
        <w:keepNext/>
        <w:spacing w:after="120" w:before="120" w:line="276"/>
      </w:pPr>
      <w:r>
        <w:rPr>
          <w:rFonts w:ascii="Arial" w:cs="Arial" w:eastAsia="Arial" w:hAnsi="Arial"/>
          <w:b/>
          <w:bCs/>
          <w:i w:val="false"/>
          <w:iCs w:val="false"/>
          <w:color w:val="000000"/>
          <w:sz w:val="22"/>
          <w:szCs w:val="22"/>
        </w:rPr>
        <w:t xml:space="preserve">4.3. Contrapartes que actúan como Encargados del Tratamiento.</w:t>
      </w:r>
    </w:p>
    <w:p>
      <w:pPr>
        <w:spacing w:after="120" w:line="276"/>
        <w:jc w:val="both"/>
      </w:pPr>
      <w:r>
        <w:rPr>
          <w:rFonts w:ascii="Arial" w:cs="Arial" w:eastAsia="Arial" w:hAnsi="Arial"/>
          <w:b w:val="false"/>
          <w:bCs w:val="false"/>
          <w:i w:val="false"/>
          <w:iCs w:val="false"/>
          <w:color w:val="000000"/>
          <w:sz w:val="22"/>
          <w:szCs w:val="22"/>
        </w:rPr>
        <w:t xml:space="preserve">Cuando, por la naturaleza de la relación, LA CONTRAPARTE trate Datos Personales por cuenta de ZIPP, actuará como Encargado del Tratamiento y dará tratamiento a dichos datos conforme a los principios de la Ley 1581 de 2012, salvaguardando la seguridad de las bases de datos y guardando confidencialidad sobre su contenido (art. 2.2.2.25.5.2, Decreto 1074 de 2015). En ese evento, este contrato —junto con el Anexo de Tratamiento de Datos Personales que las partes suscriban, si lo consideran necesario— hace las veces de contrato de transmisión de datos exigido por dicha norma.</w:t>
      </w:r>
    </w:p>
    <w:p>
      <w:pPr>
        <w:keepNext/>
        <w:spacing w:after="120" w:before="120" w:line="276"/>
      </w:pPr>
      <w:r>
        <w:rPr>
          <w:rFonts w:ascii="Arial" w:cs="Arial" w:eastAsia="Arial" w:hAnsi="Arial"/>
          <w:b/>
          <w:bCs/>
          <w:i w:val="false"/>
          <w:iCs w:val="false"/>
          <w:color w:val="000000"/>
          <w:sz w:val="22"/>
          <w:szCs w:val="22"/>
        </w:rPr>
        <w:t xml:space="preserve">4.4. Relación con la Política de Tratamiento de Datos de ZIPP.</w:t>
      </w:r>
    </w:p>
    <w:p>
      <w:pPr>
        <w:spacing w:after="120" w:line="276"/>
        <w:jc w:val="both"/>
      </w:pPr>
      <w:r>
        <w:rPr>
          <w:rFonts w:ascii="Arial" w:cs="Arial" w:eastAsia="Arial" w:hAnsi="Arial"/>
          <w:b w:val="false"/>
          <w:bCs w:val="false"/>
          <w:i w:val="false"/>
          <w:iCs w:val="false"/>
          <w:color w:val="000000"/>
          <w:sz w:val="22"/>
          <w:szCs w:val="22"/>
        </w:rPr>
        <w:t xml:space="preserve">Este contrato no es, ni reemplaza, la Política de Tratamiento de Datos Personales ni los avisos de privacidad de ZIPP frente a los titulares de la información (usuarios, comercios, domiciliarios); esos documentos regulan la relación entre ZIPP y los titulares. Este NDA regula específicamente las obligaciones de LA CONTRAPARTE frente a la información a la que accede por razón de su relación con ZIPP. Ambos documentos se complementan y deben ser consistentes entre sí.</w:t>
      </w:r>
    </w:p>
    <w:p>
      <w:pPr>
        <w:keepNext/>
        <w:spacing w:after="120" w:before="240" w:line="276"/>
      </w:pPr>
      <w:r>
        <w:rPr>
          <w:rFonts w:ascii="Arial" w:cs="Arial" w:eastAsia="Arial" w:hAnsi="Arial"/>
          <w:b/>
          <w:bCs/>
          <w:i w:val="false"/>
          <w:iCs w:val="false"/>
          <w:color w:val="000000"/>
          <w:sz w:val="24"/>
          <w:szCs w:val="24"/>
        </w:rPr>
        <w:t xml:space="preserve">CLÁUSULA QUINTA. OBLIGACIONES DE CONFIDENCIALIDAD.</w:t>
      </w:r>
    </w:p>
    <w:p>
      <w:pPr>
        <w:spacing w:after="120" w:line="276"/>
        <w:jc w:val="both"/>
      </w:pPr>
      <w:r>
        <w:rPr>
          <w:rFonts w:ascii="Arial" w:cs="Arial" w:eastAsia="Arial" w:hAnsi="Arial"/>
          <w:b w:val="false"/>
          <w:bCs w:val="false"/>
          <w:i w:val="false"/>
          <w:iCs w:val="false"/>
          <w:color w:val="000000"/>
          <w:sz w:val="22"/>
          <w:szCs w:val="22"/>
        </w:rPr>
        <w:t xml:space="preserve">LA CONTRAPARTE se obliga, respecto de toda la Información Confidencial a la que tenga acceso, 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No divulgarla ni compartirla con terceros no autorizados.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No venderla, publicarla ni copiarla más allá de lo estrictamente necesario para cumplir su relación con ZIPP.</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No utilizarla en beneficio propio ni en beneficio de terceros, incluidos competidores de ZIPP.</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No permitir el acceso de terceros no autorizados, propios o ajenos a su organización.</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Proteger las credenciales que le sean asignadas y utilizar únicamente los accesos que le correspondan.</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f)	</w:t>
      </w:r>
      <w:r>
        <w:rPr>
          <w:rFonts w:ascii="Arial" w:cs="Arial" w:eastAsia="Arial" w:hAnsi="Arial"/>
          <w:b w:val="false"/>
          <w:bCs w:val="false"/>
          <w:i w:val="false"/>
          <w:iCs w:val="false"/>
          <w:color w:val="000000"/>
          <w:sz w:val="22"/>
          <w:szCs w:val="22"/>
        </w:rPr>
        <w:t xml:space="preserve">Informar a ZIPP de forma inmediata cualquier incidente relacionado con el acceso, uso o posible filtración de la información.</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g)	</w:t>
      </w:r>
      <w:r>
        <w:rPr>
          <w:rFonts w:ascii="Arial" w:cs="Arial" w:eastAsia="Arial" w:hAnsi="Arial"/>
          <w:b w:val="false"/>
          <w:bCs w:val="false"/>
          <w:i w:val="false"/>
          <w:iCs w:val="false"/>
          <w:color w:val="000000"/>
          <w:sz w:val="22"/>
          <w:szCs w:val="22"/>
        </w:rPr>
        <w:t xml:space="preserve">Devolver la información cuando le sea solicitado y eliminar las copias que conserve, conforme a la Cláusula Décima Segunda.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h)	</w:t>
      </w:r>
      <w:r>
        <w:rPr>
          <w:rFonts w:ascii="Arial" w:cs="Arial" w:eastAsia="Arial" w:hAnsi="Arial"/>
          <w:b w:val="false"/>
          <w:bCs w:val="false"/>
          <w:i w:val="false"/>
          <w:iCs w:val="false"/>
          <w:color w:val="000000"/>
          <w:sz w:val="22"/>
          <w:szCs w:val="22"/>
        </w:rPr>
        <w:t xml:space="preserve">Respetar los controles de acceso y demás medidas de seguridad implementadas por ZIPP.</w:t>
      </w:r>
    </w:p>
    <w:p>
      <w:pPr>
        <w:keepNext/>
        <w:spacing w:after="120" w:before="240" w:line="276"/>
      </w:pPr>
      <w:r>
        <w:rPr>
          <w:rFonts w:ascii="Arial" w:cs="Arial" w:eastAsia="Arial" w:hAnsi="Arial"/>
          <w:b/>
          <w:bCs/>
          <w:i w:val="false"/>
          <w:iCs w:val="false"/>
          <w:color w:val="000000"/>
          <w:sz w:val="24"/>
          <w:szCs w:val="24"/>
        </w:rPr>
        <w:t xml:space="preserve">CLÁUSULA SEXTA. SEGURIDAD DIGITAL.</w:t>
      </w:r>
    </w:p>
    <w:p>
      <w:pPr>
        <w:spacing w:after="120" w:line="276"/>
        <w:jc w:val="both"/>
      </w:pPr>
      <w:r>
        <w:rPr>
          <w:rFonts w:ascii="Arial" w:cs="Arial" w:eastAsia="Arial" w:hAnsi="Arial"/>
          <w:b w:val="false"/>
          <w:bCs w:val="false"/>
          <w:i w:val="false"/>
          <w:iCs w:val="false"/>
          <w:color w:val="000000"/>
          <w:sz w:val="22"/>
          <w:szCs w:val="22"/>
        </w:rPr>
        <w:t xml:space="preserve">LA CONTRAPARTE adoptará medidas razonables de seguridad de la información en relación con contraseñas, autenticación multifactor (cuando esté disponible), tokens y claves API, credenciales de acceso, dispositivos utilizados para acceder a la información, repositorios de código, bases de datos, servidores, paneles administrativos y herramientas de terceros que ZIPP le habilite. En particular, LA CONTRAPARTE se obliga a no almacenar Información Confidencial en dispositivos o medios personales no autorizados, a no realizar copias de seguridad, capturas de pantalla, fotografías ni exportaciones de datos que no sean estrictamente necesarias para el desarrollo de su relación con ZIPP.</w:t>
      </w:r>
    </w:p>
    <w:p>
      <w:pPr>
        <w:spacing w:after="120" w:line="276"/>
        <w:jc w:val="both"/>
      </w:pPr>
      <w:r>
        <w:rPr>
          <w:rFonts w:ascii="Arial" w:cs="Arial" w:eastAsia="Arial" w:hAnsi="Arial"/>
          <w:b w:val="false"/>
          <w:bCs w:val="false"/>
          <w:i w:val="false"/>
          <w:iCs w:val="false"/>
          <w:color w:val="000000"/>
          <w:sz w:val="22"/>
          <w:szCs w:val="22"/>
        </w:rPr>
        <w:t xml:space="preserve">Las credenciales asignadas a LA CONTRAPARTE son personales e intransferibles. Queda prohibido compartirlas con cualquier tercero, incluso dentro de la propia organización de LA CONTRAPARTE, salvo autorización previa y escrita de ZIPP.</w:t>
      </w:r>
    </w:p>
    <w:p>
      <w:pPr>
        <w:keepNext/>
        <w:spacing w:after="120" w:before="240" w:line="276"/>
      </w:pPr>
      <w:r>
        <w:rPr>
          <w:rFonts w:ascii="Arial" w:cs="Arial" w:eastAsia="Arial" w:hAnsi="Arial"/>
          <w:b/>
          <w:bCs/>
          <w:i w:val="false"/>
          <w:iCs w:val="false"/>
          <w:color w:val="000000"/>
          <w:sz w:val="24"/>
          <w:szCs w:val="24"/>
        </w:rPr>
        <w:t xml:space="preserve">CLÁUSULA SÉPTIMA. INCIDENTES DE SEGURIDAD.</w:t>
      </w:r>
    </w:p>
    <w:p>
      <w:pPr>
        <w:spacing w:after="120" w:line="276"/>
        <w:jc w:val="both"/>
      </w:pPr>
      <w:r>
        <w:rPr>
          <w:rFonts w:ascii="Arial" w:cs="Arial" w:eastAsia="Arial" w:hAnsi="Arial"/>
          <w:b w:val="false"/>
          <w:bCs w:val="false"/>
          <w:i w:val="false"/>
          <w:iCs w:val="false"/>
          <w:color w:val="000000"/>
          <w:sz w:val="22"/>
          <w:szCs w:val="22"/>
        </w:rPr>
        <w:t xml:space="preserve">LA CONTRAPARTE deberá informar a ZIPP tan pronto tenga conocimiento de cualquiera de los siguientes eventos: pérdida de un dispositivo con acceso a la información de ZIPP; pérdida o compromiso de una contraseña; exposición de una clave API; divulgación accidental de información; detección de un acceso no autorizado; descarga indebida de información; envío de información a un destinatario equivocado; detección de una vulnerabilidad; o sospecha razonable de una filtración.</w:t>
      </w:r>
    </w:p>
    <w:p>
      <w:pPr>
        <w:spacing w:after="120" w:line="276"/>
        <w:jc w:val="both"/>
      </w:pPr>
      <w:r>
        <w:rPr>
          <w:rFonts w:ascii="Arial" w:cs="Arial" w:eastAsia="Arial" w:hAnsi="Arial"/>
          <w:b w:val="false"/>
          <w:bCs w:val="false"/>
          <w:i w:val="false"/>
          <w:iCs w:val="false"/>
          <w:color w:val="000000"/>
          <w:sz w:val="22"/>
          <w:szCs w:val="22"/>
        </w:rPr>
        <w:t xml:space="preserve">El plazo o la forma de notificación que las partes acuerden en el Anexo respectivo es una obligación contractual asumida voluntariamente por LA CONTRAPARTE, y no un término impuesto directamente por la ley a la contraparte. Los deberes de reporte de incidentes de seguridad ante la Superintendencia de Industria y Comercio, cuando procedan conforme a la Ley 1581 de 2012, corresponden a ZIPP en su calidad de Responsable del Tratamiento; la notificación oportuna de LA CONTRAPARTE es lo que permite a ZIPP cumplir esos deberes.</w:t>
      </w:r>
    </w:p>
    <w:p>
      <w:pPr>
        <w:keepNext/>
        <w:spacing w:after="120" w:before="240" w:line="276"/>
      </w:pPr>
      <w:r>
        <w:rPr>
          <w:rFonts w:ascii="Arial" w:cs="Arial" w:eastAsia="Arial" w:hAnsi="Arial"/>
          <w:b/>
          <w:bCs/>
          <w:i w:val="false"/>
          <w:iCs w:val="false"/>
          <w:color w:val="000000"/>
          <w:sz w:val="24"/>
          <w:szCs w:val="24"/>
        </w:rPr>
        <w:t xml:space="preserve">CLÁUSULA OCTAVA. PROPIEDAD DE LA INFORMACIÓN.</w:t>
      </w:r>
    </w:p>
    <w:p>
      <w:pPr>
        <w:spacing w:after="120" w:line="276"/>
        <w:jc w:val="both"/>
      </w:pPr>
      <w:r>
        <w:rPr>
          <w:rFonts w:ascii="Arial" w:cs="Arial" w:eastAsia="Arial" w:hAnsi="Arial"/>
          <w:b w:val="false"/>
          <w:bCs w:val="false"/>
          <w:i w:val="false"/>
          <w:iCs w:val="false"/>
          <w:color w:val="000000"/>
          <w:sz w:val="22"/>
          <w:szCs w:val="22"/>
        </w:rPr>
        <w:t xml:space="preserve">La Información Confidencial entregada o a la que se dé acceso a LA CONTRAPARTE sigue perteneciendo a ZIPP o al respectivo titular. El acceso a dicha información no transfiere su propiedad, no concede licencia comercial alguna, no otorga derechos sobre las bases de datos, no otorga derechos de autor sobre el código fuente o la documentación técnica, no otorga derechos sobre las marcas de ZIPP y no autoriza su reutilización fuera del objeto de la relación entre las partes. Cuando LA CONTRAPARTE elabore obras por encargo de ZIPP (desarrollo de software, documentación u otras), los derechos patrimoniales corresponderán a ZIPP en los términos del art. 20 de la Ley 23 de 1982, conservando el autor únicamente sus derechos morales, salvo pacto distinto en el contrato principal que rija esa relación.</w:t>
      </w:r>
    </w:p>
    <w:p>
      <w:pPr>
        <w:keepNext/>
        <w:spacing w:after="120" w:before="240" w:line="276"/>
      </w:pPr>
      <w:r>
        <w:rPr>
          <w:rFonts w:ascii="Arial" w:cs="Arial" w:eastAsia="Arial" w:hAnsi="Arial"/>
          <w:b/>
          <w:bCs/>
          <w:i w:val="false"/>
          <w:iCs w:val="false"/>
          <w:color w:val="000000"/>
          <w:sz w:val="24"/>
          <w:szCs w:val="24"/>
        </w:rPr>
        <w:t xml:space="preserve">CLÁUSULA NOVENA. INFORMACIÓN DE TERCEROS.</w:t>
      </w:r>
    </w:p>
    <w:p>
      <w:pPr>
        <w:spacing w:after="120" w:line="276"/>
        <w:jc w:val="both"/>
      </w:pPr>
      <w:r>
        <w:rPr>
          <w:rFonts w:ascii="Arial" w:cs="Arial" w:eastAsia="Arial" w:hAnsi="Arial"/>
          <w:b w:val="false"/>
          <w:bCs w:val="false"/>
          <w:i w:val="false"/>
          <w:iCs w:val="false"/>
          <w:color w:val="000000"/>
          <w:sz w:val="22"/>
          <w:szCs w:val="22"/>
        </w:rPr>
        <w:t xml:space="preserve">ZIPP recibe legítimamente información confidencial de comercios afiliados, usuarios, domiciliarios, proveedores y aliados comerciales. LA CONTRAPARTE se obliga a respetar, frente a esa información de terceros, las mismas obligaciones de confidencialidad y protección establecidas en este contrato para la información de ZIPP.</w:t>
      </w:r>
    </w:p>
    <w:p>
      <w:pPr>
        <w:keepNext/>
        <w:spacing w:after="120" w:before="240" w:line="276"/>
      </w:pPr>
      <w:r>
        <w:rPr>
          <w:rFonts w:ascii="Arial" w:cs="Arial" w:eastAsia="Arial" w:hAnsi="Arial"/>
          <w:b/>
          <w:bCs/>
          <w:i w:val="false"/>
          <w:iCs w:val="false"/>
          <w:color w:val="000000"/>
          <w:sz w:val="24"/>
          <w:szCs w:val="24"/>
        </w:rPr>
        <w:t xml:space="preserve">CLÁUSULA DÉCIMA. PROHIBICIÓN DE USOS INDEBIDOS.</w:t>
      </w:r>
    </w:p>
    <w:p>
      <w:pPr>
        <w:spacing w:after="120" w:line="276"/>
        <w:jc w:val="both"/>
      </w:pPr>
      <w:r>
        <w:rPr>
          <w:rFonts w:ascii="Arial" w:cs="Arial" w:eastAsia="Arial" w:hAnsi="Arial"/>
          <w:b w:val="false"/>
          <w:bCs w:val="false"/>
          <w:i w:val="false"/>
          <w:iCs w:val="false"/>
          <w:color w:val="000000"/>
          <w:sz w:val="22"/>
          <w:szCs w:val="22"/>
        </w:rPr>
        <w:t xml:space="preserve">Queda prohibido a LA CONTRAPARTE: utilizar las bases de datos de ZIPP para constituir o desarrollar un negocio propio; contactar, para fines personales o ajenos a ZIPP, a comercios o usuarios conocidos por razón de su relación con ZIPP; extraer información de usuarios; copiar estrategias comerciales de ZIPP; utilizar información de ZIPP en beneficio de un competidor; compartir información de ZIPP con otra plataforma; reutilizar código o documentación confidencial de ZIPP; y utilizar credenciales de ZIPP después de terminada la relación entre las partes.</w:t>
      </w:r>
    </w:p>
    <w:p>
      <w:pPr>
        <w:spacing w:after="120" w:line="276"/>
        <w:jc w:val="both"/>
      </w:pPr>
      <w:r>
        <w:rPr>
          <w:rFonts w:ascii="Arial" w:cs="Arial" w:eastAsia="Arial" w:hAnsi="Arial"/>
          <w:b w:val="false"/>
          <w:bCs w:val="false"/>
          <w:i w:val="false"/>
          <w:iCs w:val="false"/>
          <w:color w:val="000000"/>
          <w:sz w:val="22"/>
          <w:szCs w:val="22"/>
        </w:rPr>
        <w:t xml:space="preserve">Esta cláusula es una obligación de confidencialidad y no una cláusula de no competencia. No se prohíbe a LA CONTRAPARTE trabajar para la competencia, prestar servicios similares a terceros ni ejercer su actividad profesional libremente; solo se prohíbe el uso indebido de la Información Confidencial de ZIPP. Si ZIPP desea imponer, adicionalmente, una restricción de no competencia (por ejemplo, frente a determinados cargos directivos o comerciales), esa cláusula debe pactarse aparte, con análisis de proporcionalidad territorial y temporal y, en relaciones laborales, con la contraprestación económica que exige la jurisprudencia laboral; dicho pacto requiere asesoría jurídica independiente y no se incluye en este modelo.</w:t>
      </w:r>
    </w:p>
    <w:p>
      <w:pPr>
        <w:keepNext/>
        <w:spacing w:after="120" w:before="240" w:line="276"/>
      </w:pPr>
      <w:r>
        <w:rPr>
          <w:rFonts w:ascii="Arial" w:cs="Arial" w:eastAsia="Arial" w:hAnsi="Arial"/>
          <w:b/>
          <w:bCs/>
          <w:i w:val="false"/>
          <w:iCs w:val="false"/>
          <w:color w:val="000000"/>
          <w:sz w:val="24"/>
          <w:szCs w:val="24"/>
        </w:rPr>
        <w:t xml:space="preserve">CLÁUSULA DÉCIMA PRIMERA. DURACIÓN.</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Duración del contrato: el presente contrato estará vigente mientras subsista la relación entre las partes que dio origen al acceso a la información.</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Confidencialidad general: las obligaciones de confidencialidad sobre Información Confidencial subsistirán por [_____] años contados desde la terminación de la relación entre las partes, plazo que las partes consideran razonable y que debe ajustarse según el tipo de información y de contraparte.</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Secretos empresariales: la protección se mantendrá mientras la información conserve el carácter de secreto empresarial en los términos del art. 260 de la Decisión 486 de 2000, sin que ello dependa de un plazo fijo.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Datos personales: las obligaciones de confidencialidad y seguridad sobre Datos Personales subsistirán después de finalizada cualquier clase de relación con ZIPP, conforme al principio de confidencialidad del art. 4 de la Ley 1581 de 2012.</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Devolución y eliminación: la obligación de devolver o eliminar la información es exigible de forma inmediata a la terminación de la relación, o antes, cuando ZIPP lo solicite razonablemente.</w:t>
      </w:r>
    </w:p>
    <w:p>
      <w:pPr>
        <w:spacing w:after="120" w:line="276"/>
        <w:jc w:val="both"/>
      </w:pPr>
      <w:r>
        <w:rPr>
          <w:rFonts w:ascii="Arial" w:cs="Arial" w:eastAsia="Arial" w:hAnsi="Arial"/>
          <w:b w:val="false"/>
          <w:bCs w:val="false"/>
          <w:i w:val="false"/>
          <w:iCs w:val="false"/>
          <w:color w:val="000000"/>
          <w:sz w:val="22"/>
          <w:szCs w:val="22"/>
        </w:rPr>
        <w:t xml:space="preserve">Un plazo indefinido es razonable para secretos empresariales y datos personales, por la naturaleza de la información y por disposición legal; para información confidencial general, se recomienda fijar un plazo determinado y proporcional (frecuentemente entre 2 y 5 años), pues un plazo indefinido sobre información no sensible podría ser cuestionado como desproporcionado.</w:t>
      </w:r>
    </w:p>
    <w:p>
      <w:pPr>
        <w:keepNext/>
        <w:spacing w:after="120" w:before="240" w:line="276"/>
      </w:pPr>
      <w:r>
        <w:rPr>
          <w:rFonts w:ascii="Arial" w:cs="Arial" w:eastAsia="Arial" w:hAnsi="Arial"/>
          <w:b/>
          <w:bCs/>
          <w:i w:val="false"/>
          <w:iCs w:val="false"/>
          <w:color w:val="000000"/>
          <w:sz w:val="24"/>
          <w:szCs w:val="24"/>
        </w:rPr>
        <w:t xml:space="preserve">CLÁUSULA DÉCIMA SEGUNDA. DEVOLUCIÓN Y ELIMINACIÓN DE INFORMACIÓN.</w:t>
      </w:r>
    </w:p>
    <w:p>
      <w:pPr>
        <w:spacing w:after="120" w:line="276"/>
        <w:jc w:val="both"/>
      </w:pPr>
      <w:r>
        <w:rPr>
          <w:rFonts w:ascii="Arial" w:cs="Arial" w:eastAsia="Arial" w:hAnsi="Arial"/>
          <w:b w:val="false"/>
          <w:bCs w:val="false"/>
          <w:i w:val="false"/>
          <w:iCs w:val="false"/>
          <w:color w:val="000000"/>
          <w:sz w:val="22"/>
          <w:szCs w:val="22"/>
        </w:rPr>
        <w:t xml:space="preserve">A la terminación de la relación, o cuando ZIPP lo solicite, LA CONTRAPARTE deberá: devolver los documentos físicos y electrónicos que contengan Información Confidencial; eliminar los archivos y copias locales que conserve; revocar los accesos y eliminar las credenciales que le hayan sido asignadas; devolver los dispositivos que ZIPP le haya entregado, si los hubiere; y confirmar por escrito a ZIPP la eliminación, cuando este lo requiera razonablemente.</w:t>
      </w:r>
    </w:p>
    <w:p>
      <w:pPr>
        <w:spacing w:after="120" w:line="276"/>
        <w:jc w:val="both"/>
      </w:pPr>
      <w:r>
        <w:rPr>
          <w:rFonts w:ascii="Arial" w:cs="Arial" w:eastAsia="Arial" w:hAnsi="Arial"/>
          <w:b w:val="false"/>
          <w:bCs w:val="false"/>
          <w:i w:val="false"/>
          <w:iCs w:val="false"/>
          <w:color w:val="000000"/>
          <w:sz w:val="22"/>
          <w:szCs w:val="22"/>
        </w:rPr>
        <w:t xml:space="preserve">Las copias de seguridad generadas automáticamente por sistemas de respaldo, que técnicamente no puedan eliminarse de forma inmediata, permanecerán protegidas, no serán utilizadas ni consultadas, y se eliminarán en el ciclo normal de rotación de dichos respaldos.</w:t>
      </w:r>
    </w:p>
    <w:p>
      <w:pPr>
        <w:keepNext/>
        <w:spacing w:after="120" w:before="240" w:line="276"/>
      </w:pPr>
      <w:r>
        <w:rPr>
          <w:rFonts w:ascii="Arial" w:cs="Arial" w:eastAsia="Arial" w:hAnsi="Arial"/>
          <w:b/>
          <w:bCs/>
          <w:i w:val="false"/>
          <w:iCs w:val="false"/>
          <w:color w:val="000000"/>
          <w:sz w:val="24"/>
          <w:szCs w:val="24"/>
        </w:rPr>
        <w:t xml:space="preserve">CLÁUSULA DÉCIMA TERCERA. INCUMPLIMIENTO Y RESPONSABILIDAD.</w:t>
      </w:r>
    </w:p>
    <w:p>
      <w:pPr>
        <w:spacing w:after="120" w:line="276"/>
        <w:jc w:val="both"/>
      </w:pPr>
      <w:r>
        <w:rPr>
          <w:rFonts w:ascii="Arial" w:cs="Arial" w:eastAsia="Arial" w:hAnsi="Arial"/>
          <w:b w:val="false"/>
          <w:bCs w:val="false"/>
          <w:i w:val="false"/>
          <w:iCs w:val="false"/>
          <w:color w:val="000000"/>
          <w:sz w:val="22"/>
          <w:szCs w:val="22"/>
        </w:rPr>
        <w:t xml:space="preserve">El incumplimiento de las obligaciones de este contrato dará lugar, según el caso, a: (i) la revocación inmediata de los accesos de LA CONTRAPARTE a la información y sistemas de ZIPP; (ii) la terminación de la relación contractual subyacente, sin perjuicio de las acciones legales a que haya lugar; (iii) la responsabilidad civil por los perjuicios causados, conforme a los arts. 1602 y 1603 del Código Civil, y, cuando corresponda, el ejercicio de las acciones por competencia desleal previstas en la Ley 256 de 1996; y (iv) las medidas cautelares que legalmente procedan ante la autoridad judicial competente.</w:t>
      </w:r>
    </w:p>
    <w:p>
      <w:pPr>
        <w:keepNext/>
        <w:spacing w:after="120" w:before="120" w:line="276"/>
      </w:pPr>
      <w:r>
        <w:rPr>
          <w:rFonts w:ascii="Arial" w:cs="Arial" w:eastAsia="Arial" w:hAnsi="Arial"/>
          <w:b/>
          <w:bCs/>
          <w:i w:val="false"/>
          <w:iCs w:val="false"/>
          <w:color w:val="000000"/>
          <w:sz w:val="22"/>
          <w:szCs w:val="22"/>
        </w:rPr>
        <w:t xml:space="preserve">Cláusula penal (opcional).</w:t>
      </w:r>
    </w:p>
    <w:p>
      <w:pPr>
        <w:spacing w:after="120" w:line="276"/>
        <w:jc w:val="both"/>
      </w:pPr>
      <w:r>
        <w:rPr>
          <w:rFonts w:ascii="Arial" w:cs="Arial" w:eastAsia="Arial" w:hAnsi="Arial"/>
          <w:b w:val="false"/>
          <w:bCs w:val="false"/>
          <w:i w:val="false"/>
          <w:iCs w:val="false"/>
          <w:color w:val="000000"/>
          <w:sz w:val="22"/>
          <w:szCs w:val="22"/>
        </w:rPr>
        <w:t xml:space="preserve">Las partes podrán pactar una cláusula penal, en los términos del art. 1592 del Código Civil, como tasación anticipada y convencional de los perjuicios derivados del incumplimiento. De pactarse, el monto o la fórmula de cálculo deben ser proporcionales al riesgo y al tipo de información involucrada, y no pueden operar como una sanción encubierta ni como una multa automática desligada del perjuicio. Si el perjuicio real resulta superior al valor de la cláusula penal, la parte afectada deberá demostrarlo para reclamar el excedente, conforme a las reglas generales de responsabilidad civil. Este modelo no fija un monto específico: se recomienda definirlo con asesoría jurídica, según el tipo de contraparte y la sensibilidad de la información a la que tendrá acceso. No se establecen multas automáticas ni sanciones de naturaleza penal en este contrato, pues las sanciones penales son de competencia exclusiva de la justicia penal y no pueden pactarse contractualmente.</w:t>
      </w:r>
    </w:p>
    <w:p>
      <w:pPr>
        <w:keepNext/>
        <w:spacing w:after="120" w:before="240" w:line="276"/>
      </w:pPr>
      <w:r>
        <w:rPr>
          <w:rFonts w:ascii="Arial" w:cs="Arial" w:eastAsia="Arial" w:hAnsi="Arial"/>
          <w:b/>
          <w:bCs/>
          <w:i w:val="false"/>
          <w:iCs w:val="false"/>
          <w:color w:val="000000"/>
          <w:sz w:val="24"/>
          <w:szCs w:val="24"/>
        </w:rPr>
        <w:t xml:space="preserve">CLÁUSULA DÉCIMA CUARTA. RELACIÓN CON OTROS CONTRATOS.</w:t>
      </w:r>
    </w:p>
    <w:p>
      <w:pPr>
        <w:spacing w:after="120" w:line="276"/>
        <w:jc w:val="both"/>
      </w:pPr>
      <w:r>
        <w:rPr>
          <w:rFonts w:ascii="Arial" w:cs="Arial" w:eastAsia="Arial" w:hAnsi="Arial"/>
          <w:b w:val="false"/>
          <w:bCs w:val="false"/>
          <w:i w:val="false"/>
          <w:iCs w:val="false"/>
          <w:color w:val="000000"/>
          <w:sz w:val="22"/>
          <w:szCs w:val="22"/>
        </w:rPr>
        <w:t xml:space="preserve">Este contrato se relaciona, según el tipo de contraparte, con el contrato de prestación de servicios, el contrato de afiliación de comercios, el contrato con domiciliarios, el contrato con asesores comerciales, el contrato laboral (cuando exista), los Términos y Condiciones de ZIPP, la Política de Tratamiento de Datos Personales, la Política de Privacidad y los contratos con proveedores tecnológicos.</w:t>
      </w:r>
    </w:p>
    <w:p>
      <w:pPr>
        <w:spacing w:after="120" w:line="276"/>
        <w:jc w:val="both"/>
      </w:pPr>
      <w:r>
        <w:rPr>
          <w:rFonts w:ascii="Arial" w:cs="Arial" w:eastAsia="Arial" w:hAnsi="Arial"/>
          <w:b w:val="false"/>
          <w:bCs w:val="false"/>
          <w:i w:val="false"/>
          <w:iCs w:val="false"/>
          <w:color w:val="000000"/>
          <w:sz w:val="22"/>
          <w:szCs w:val="22"/>
        </w:rPr>
        <w:t xml:space="preserve">Se recomienda la siguiente estructura práctica, que la Parte 3 detalla por tipo de contraparte: a) para trabajadores, contratistas y asesores comerciales, incorporar las obligaciones de este documento como cláusula dentro del contrato principal o como anexo suyo, evitando duplicar la identificación de las partes; b) para comercios afiliados, proveedores y aliados comerciales, suscribir este documento como contrato independiente o como anexo del contrato de afiliación o alianza correspondiente, dado que esas relaciones suelen documentarse por separado. En cualquiera de los dos casos, este NDA prevalecerá sobre cualquier disposición general en contrario de otros documentos en lo relativo específicamente a confidencialidad y datos personales, salvo pacto expreso posterior entre las partes.</w:t>
      </w:r>
    </w:p>
    <w:p>
      <w:pPr>
        <w:keepNext/>
        <w:spacing w:after="120" w:before="240" w:line="276"/>
      </w:pPr>
      <w:r>
        <w:rPr>
          <w:rFonts w:ascii="Arial" w:cs="Arial" w:eastAsia="Arial" w:hAnsi="Arial"/>
          <w:b/>
          <w:bCs/>
          <w:i w:val="false"/>
          <w:iCs w:val="false"/>
          <w:color w:val="000000"/>
          <w:sz w:val="24"/>
          <w:szCs w:val="24"/>
        </w:rPr>
        <w:t xml:space="preserve">CLÁUSULA DÉCIMA QUINTA. TERMINACIÓN.</w:t>
      </w:r>
    </w:p>
    <w:p>
      <w:pPr>
        <w:spacing w:after="120" w:line="276"/>
        <w:jc w:val="both"/>
      </w:pPr>
      <w:r>
        <w:rPr>
          <w:rFonts w:ascii="Arial" w:cs="Arial" w:eastAsia="Arial" w:hAnsi="Arial"/>
          <w:b w:val="false"/>
          <w:bCs w:val="false"/>
          <w:i w:val="false"/>
          <w:iCs w:val="false"/>
          <w:color w:val="000000"/>
          <w:sz w:val="22"/>
          <w:szCs w:val="22"/>
        </w:rPr>
        <w:t xml:space="preserve">Este contrato termina por: (i) terminación de la relación subyacente entre las partes; (ii) mutuo acuerdo; (iii) incumplimiento grave de cualquiera de las obligaciones aquí previstas; o (iv) decisión unilateral de ZIPP, con revocación inmediata de accesos, cuando exista un riesgo razonable para la seguridad de la información. La terminación no afecta la subsistencia de las obligaciones de confidencialidad, protección de datos y devolución de información pactadas en las Cláusulas Décima Primera y Décima Segunda.</w:t>
      </w:r>
    </w:p>
    <w:p>
      <w:pPr>
        <w:keepNext/>
        <w:spacing w:after="120" w:before="240" w:line="276"/>
      </w:pPr>
      <w:r>
        <w:rPr>
          <w:rFonts w:ascii="Arial" w:cs="Arial" w:eastAsia="Arial" w:hAnsi="Arial"/>
          <w:b/>
          <w:bCs/>
          <w:i w:val="false"/>
          <w:iCs w:val="false"/>
          <w:color w:val="000000"/>
          <w:sz w:val="24"/>
          <w:szCs w:val="24"/>
        </w:rPr>
        <w:t xml:space="preserve">CLÁUSULA DÉCIMA SEXTA. SOLUCIÓN DE CONTROVERSIAS.</w:t>
      </w:r>
    </w:p>
    <w:p>
      <w:pPr>
        <w:spacing w:after="120" w:line="276"/>
        <w:jc w:val="both"/>
      </w:pPr>
      <w:r>
        <w:rPr>
          <w:rFonts w:ascii="Arial" w:cs="Arial" w:eastAsia="Arial" w:hAnsi="Arial"/>
          <w:b w:val="false"/>
          <w:bCs w:val="false"/>
          <w:i w:val="false"/>
          <w:iCs w:val="false"/>
          <w:color w:val="000000"/>
          <w:sz w:val="22"/>
          <w:szCs w:val="22"/>
        </w:rPr>
        <w:t xml:space="preserve">Las partes procurarán resolver directa y amigablemente cualquier controversia derivada de este contrato. De no lograrlo, la controversia se someterá al conocimiento de los jueces de la República de Colombia. Como alternativa, las partes pueden pactar una cláusula compromisoria que remita las controversias a un centro de arbitraje, conforme al Estatuto de Arbitraje Nacional e Internacional (Ley 1563 de 2012); esta opción no se incluye por defecto en el modelo porque implica costos y una decisión estratégica de las partes que conviene evaluar caso a caso.</w:t>
      </w:r>
    </w:p>
    <w:p>
      <w:pPr>
        <w:keepNext/>
        <w:spacing w:after="120" w:before="240" w:line="276"/>
      </w:pPr>
      <w:r>
        <w:rPr>
          <w:rFonts w:ascii="Arial" w:cs="Arial" w:eastAsia="Arial" w:hAnsi="Arial"/>
          <w:b/>
          <w:bCs/>
          <w:i w:val="false"/>
          <w:iCs w:val="false"/>
          <w:color w:val="000000"/>
          <w:sz w:val="24"/>
          <w:szCs w:val="24"/>
        </w:rPr>
        <w:t xml:space="preserve">CLÁUSULA DÉCIMA SÉPTIMA. LEY APLICABLE.</w:t>
      </w:r>
    </w:p>
    <w:p>
      <w:pPr>
        <w:spacing w:after="120" w:line="276"/>
        <w:jc w:val="both"/>
      </w:pPr>
      <w:r>
        <w:rPr>
          <w:rFonts w:ascii="Arial" w:cs="Arial" w:eastAsia="Arial" w:hAnsi="Arial"/>
          <w:b w:val="false"/>
          <w:bCs w:val="false"/>
          <w:i w:val="false"/>
          <w:iCs w:val="false"/>
          <w:color w:val="000000"/>
          <w:sz w:val="22"/>
          <w:szCs w:val="22"/>
        </w:rPr>
        <w:t xml:space="preserve">Este contrato se rige por las leyes de la República de Colombia.</w:t>
      </w:r>
    </w:p>
    <w:p>
      <w:pPr>
        <w:keepNext/>
        <w:spacing w:after="120" w:before="240" w:line="276"/>
      </w:pPr>
      <w:r>
        <w:rPr>
          <w:rFonts w:ascii="Arial" w:cs="Arial" w:eastAsia="Arial" w:hAnsi="Arial"/>
          <w:b/>
          <w:bCs/>
          <w:i w:val="false"/>
          <w:iCs w:val="false"/>
          <w:color w:val="000000"/>
          <w:sz w:val="24"/>
          <w:szCs w:val="24"/>
        </w:rPr>
        <w:t xml:space="preserve">CLÁUSULA DÉCIMA OCTAVA. NOTIFICACIONES.</w:t>
      </w:r>
    </w:p>
    <w:p>
      <w:pPr>
        <w:spacing w:after="120" w:line="276"/>
        <w:jc w:val="both"/>
      </w:pPr>
      <w:r>
        <w:rPr>
          <w:rFonts w:ascii="Arial" w:cs="Arial" w:eastAsia="Arial" w:hAnsi="Arial"/>
          <w:b w:val="false"/>
          <w:bCs w:val="false"/>
          <w:i w:val="false"/>
          <w:iCs w:val="false"/>
          <w:color w:val="000000"/>
          <w:sz w:val="22"/>
          <w:szCs w:val="22"/>
        </w:rPr>
        <w:t xml:space="preserve">Todas las comunicaciones relacionadas con este contrato se dirigirán a las direcciones físicas y correos electrónicos señalados en el encabezado. Las notificaciones enviadas por medios electrónicos tendrán la validez y fuerza probatoria reconocidas por los arts. 5 y 10 de la Ley 527 de 1999 y por el Decreto 2364 de 2012.</w:t>
      </w:r>
    </w:p>
    <w:p>
      <w:pPr>
        <w:keepNext/>
        <w:spacing w:after="120" w:before="240" w:line="276"/>
      </w:pPr>
      <w:r>
        <w:rPr>
          <w:rFonts w:ascii="Arial" w:cs="Arial" w:eastAsia="Arial" w:hAnsi="Arial"/>
          <w:b/>
          <w:bCs/>
          <w:i w:val="false"/>
          <w:iCs w:val="false"/>
          <w:color w:val="000000"/>
          <w:sz w:val="24"/>
          <w:szCs w:val="24"/>
        </w:rPr>
        <w:t xml:space="preserve">CLÁUSULA DÉCIMA NOVENA. FIRMA.</w:t>
      </w:r>
    </w:p>
    <w:p>
      <w:pPr>
        <w:spacing w:after="120" w:line="276"/>
        <w:jc w:val="both"/>
      </w:pPr>
      <w:r>
        <w:rPr>
          <w:rFonts w:ascii="Arial" w:cs="Arial" w:eastAsia="Arial" w:hAnsi="Arial"/>
          <w:b w:val="false"/>
          <w:bCs w:val="false"/>
          <w:i w:val="false"/>
          <w:iCs w:val="false"/>
          <w:color w:val="000000"/>
          <w:sz w:val="22"/>
          <w:szCs w:val="22"/>
        </w:rPr>
        <w:t xml:space="preserve">Este contrato podrá suscribirse: a) físicamente, con firma autógrafa de las partes; b) mediante firma electrónica, en los términos del Decreto 2364 de 2012; o c) a través de una plataforma de firma digital o electrónica de uso comercial. Cualquiera de estos mecanismos tendrá la misma validez y efectos jurídicos que la firma manuscrita, siempre que cumpla los requisitos de confiabilidad del art. 4 del Decreto 2364 de 2012.</w:t>
      </w:r>
    </w:p>
    <w:p>
      <w:pPr>
        <w:spacing w:after="120" w:line="276"/>
        <w:jc w:val="both"/>
      </w:pPr>
      <w:r>
        <w:rPr>
          <w:rFonts w:ascii="Arial" w:cs="Arial" w:eastAsia="Arial" w:hAnsi="Arial"/>
          <w:b w:val="false"/>
          <w:bCs w:val="false"/>
          <w:i w:val="false"/>
          <w:iCs w:val="false"/>
          <w:color w:val="000000"/>
          <w:sz w:val="22"/>
          <w:szCs w:val="22"/>
        </w:rPr>
        <w:t xml:space="preserve">Cuando el contrato se suscriba electrónicamente, ZIPP conservará como evidencia de la aceptación el documento firmado, o el certificado y registro generado por la plataforma de firma utilizada, incluyendo fecha, hora, identificación del firmante y método de verificación de identidad empleado, conforme a los arts. 5 y 10 de la Ley 527 de 1999.</w:t>
      </w:r>
    </w:p>
    <w:p>
      <w:pPr>
        <w:keepNext/>
        <w:spacing w:after="120" w:before="240" w:line="276"/>
      </w:pPr>
      <w:r>
        <w:rPr>
          <w:rFonts w:ascii="Arial" w:cs="Arial" w:eastAsia="Arial" w:hAnsi="Arial"/>
          <w:b/>
          <w:bCs/>
          <w:i w:val="false"/>
          <w:iCs w:val="false"/>
          <w:color w:val="000000"/>
          <w:sz w:val="24"/>
          <w:szCs w:val="24"/>
        </w:rPr>
        <w:t xml:space="preserve">CLÁUSULA VIGÉSIMA. ANEXOS.</w:t>
      </w:r>
    </w:p>
    <w:p>
      <w:pPr>
        <w:spacing w:after="120" w:line="276"/>
        <w:jc w:val="both"/>
      </w:pPr>
      <w:r>
        <w:rPr>
          <w:rFonts w:ascii="Arial" w:cs="Arial" w:eastAsia="Arial" w:hAnsi="Arial"/>
          <w:b w:val="false"/>
          <w:bCs w:val="false"/>
          <w:i w:val="false"/>
          <w:iCs w:val="false"/>
          <w:color w:val="000000"/>
          <w:sz w:val="22"/>
          <w:szCs w:val="22"/>
        </w:rPr>
        <w:t xml:space="preserve">Forman parte integral de este contrato, cuando resulten aplicables y se suscriban por las partes: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Anexo 1. Descripción específica de la Información Confidencial entregada a LA CONTRAPARTE.</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Anexo 2. Matriz o registro de accesos otorgados a LA CONTRAPARTE (sistemas, credenciales, nivel de acceso).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Anexo 3. Contrato o cláusula de transmisión de datos personales, cuando LA CONTRAPARTE actúe como Encargado del Tratamiento.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Acta de entrega de equipos, si ZIPP entrega dispositivos a LA CONTRAPARTE.</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Acta de devolución de equipos, a la terminación de la relación.</w:t>
      </w:r>
    </w:p>
    <w:p>
      <w:pPr>
        <w:spacing w:after="120" w:line="276"/>
        <w:jc w:val="both"/>
      </w:pPr>
      <w:r>
        <w:rPr>
          <w:rFonts w:ascii="Arial" w:cs="Arial" w:eastAsia="Arial" w:hAnsi="Arial"/>
          <w:b w:val="false"/>
          <w:bCs w:val="false"/>
          <w:i w:val="false"/>
          <w:iCs w:val="false"/>
          <w:color w:val="000000"/>
          <w:sz w:val="22"/>
          <w:szCs w:val="22"/>
        </w:rPr>
        <w:t xml:space="preserve">No se incluyen anexos adicionales a los estrictamente necesarios, para no sobrecargar el documento; cada anexo debe elaborarse y suscribirse solo cuando la relación concreta con LA CONTRAPARTE lo requiera.</w:t>
      </w:r>
    </w:p>
    <w:p>
      <w:pPr>
        <w:keepNext/>
        <w:spacing w:before="360"/>
      </w:pPr>
    </w:p>
    <w:p>
      <w:pPr>
        <w:keepNext/>
        <w:spacing w:after="100" w:before="200" w:line="276"/>
      </w:pPr>
      <w:r>
        <w:rPr>
          <w:rFonts w:ascii="Arial" w:cs="Arial" w:eastAsia="Arial" w:hAnsi="Arial"/>
          <w:b/>
          <w:bCs/>
          <w:i w:val="false"/>
          <w:iCs w:val="false"/>
          <w:color w:val="000000"/>
          <w:sz w:val="24"/>
          <w:szCs w:val="24"/>
        </w:rPr>
        <w:t xml:space="preserve">Firmas</w:t>
      </w:r>
    </w:p>
    <w:p>
      <w:pPr>
        <w:spacing w:after="120" w:line="276"/>
        <w:jc w:val="both"/>
      </w:pPr>
      <w:r>
        <w:rPr>
          <w:rFonts w:ascii="Arial" w:cs="Arial" w:eastAsia="Arial" w:hAnsi="Arial"/>
          <w:b w:val="false"/>
          <w:bCs w:val="false"/>
          <w:i w:val="false"/>
          <w:iCs w:val="false"/>
          <w:color w:val="000000"/>
          <w:sz w:val="22"/>
          <w:szCs w:val="22"/>
        </w:rPr>
        <w:t xml:space="preserve">En constancia de haber leído, entendido y aceptado el contenido de este contrato, las partes lo suscriben en la ciudad de [____________], a los [____] días del mes de [____________] de 2026.</w:t>
      </w:r>
    </w:p>
    <w:p>
      <w:pPr>
        <w:keepNext/>
        <w:spacing w:before="480"/>
      </w:pPr>
    </w:p>
    <w:p>
      <w:pPr>
        <w:keepNext/>
        <w:keepLines/>
        <w:spacing w:after="40" w:line="276"/>
      </w:pPr>
      <w:r>
        <w:rPr>
          <w:rFonts w:ascii="Arial" w:cs="Arial" w:eastAsia="Arial" w:hAnsi="Arial"/>
          <w:b w:val="false"/>
          <w:bCs w:val="false"/>
          <w:i w:val="false"/>
          <w:iCs w:val="false"/>
          <w:color w:val="000000"/>
          <w:sz w:val="22"/>
          <w:szCs w:val="22"/>
        </w:rPr>
        <w:t xml:space="preserve">_________________________________</w:t>
      </w:r>
    </w:p>
    <w:p>
      <w:pPr>
        <w:keepNext/>
        <w:keepLines/>
        <w:spacing w:after="40" w:line="276"/>
      </w:pPr>
      <w:r>
        <w:rPr>
          <w:rFonts w:ascii="Arial" w:cs="Arial" w:eastAsia="Arial" w:hAnsi="Arial"/>
          <w:b w:val="false"/>
          <w:bCs w:val="false"/>
          <w:i w:val="false"/>
          <w:iCs w:val="false"/>
          <w:color w:val="000000"/>
          <w:sz w:val="22"/>
          <w:szCs w:val="22"/>
        </w:rPr>
        <w:t xml:space="preserve">[NOMBRE]</w:t>
      </w:r>
    </w:p>
    <w:p>
      <w:pPr>
        <w:keepNext/>
        <w:keepLines/>
        <w:spacing w:after="40" w:line="276"/>
      </w:pPr>
      <w:r>
        <w:rPr>
          <w:rFonts w:ascii="Arial" w:cs="Arial" w:eastAsia="Arial" w:hAnsi="Arial"/>
          <w:b w:val="false"/>
          <w:bCs w:val="false"/>
          <w:i w:val="false"/>
          <w:iCs w:val="false"/>
          <w:color w:val="000000"/>
          <w:sz w:val="22"/>
          <w:szCs w:val="22"/>
        </w:rPr>
        <w:t xml:space="preserve">C.C. / NIT No. [__________]</w:t>
      </w:r>
    </w:p>
    <w:p>
      <w:pPr>
        <w:keepNext/>
        <w:keepLines/>
        <w:spacing w:after="320" w:line="276"/>
      </w:pPr>
      <w:r>
        <w:rPr>
          <w:rFonts w:ascii="Arial" w:cs="Arial" w:eastAsia="Arial" w:hAnsi="Arial"/>
          <w:b/>
          <w:bCs/>
          <w:i w:val="false"/>
          <w:iCs w:val="false"/>
          <w:color w:val="000000"/>
          <w:sz w:val="22"/>
          <w:szCs w:val="22"/>
        </w:rPr>
        <w:t xml:space="preserve">POR ZIPP</w:t>
      </w:r>
    </w:p>
    <w:p>
      <w:pPr>
        <w:keepNext/>
        <w:keepLines/>
        <w:spacing w:after="40" w:line="276"/>
      </w:pPr>
      <w:r>
        <w:rPr>
          <w:rFonts w:ascii="Arial" w:cs="Arial" w:eastAsia="Arial" w:hAnsi="Arial"/>
          <w:b w:val="false"/>
          <w:bCs w:val="false"/>
          <w:i w:val="false"/>
          <w:iCs w:val="false"/>
          <w:color w:val="000000"/>
          <w:sz w:val="22"/>
          <w:szCs w:val="22"/>
        </w:rPr>
        <w:t xml:space="preserve">_________________________________</w:t>
      </w:r>
    </w:p>
    <w:p>
      <w:pPr>
        <w:keepNext/>
        <w:keepLines/>
        <w:spacing w:after="40" w:line="276"/>
      </w:pPr>
      <w:r>
        <w:rPr>
          <w:rFonts w:ascii="Arial" w:cs="Arial" w:eastAsia="Arial" w:hAnsi="Arial"/>
          <w:b w:val="false"/>
          <w:bCs w:val="false"/>
          <w:i w:val="false"/>
          <w:iCs w:val="false"/>
          <w:color w:val="000000"/>
          <w:sz w:val="22"/>
          <w:szCs w:val="22"/>
        </w:rPr>
        <w:t xml:space="preserve">[NOMBRE]</w:t>
      </w:r>
    </w:p>
    <w:p>
      <w:pPr>
        <w:keepNext/>
        <w:keepLines/>
        <w:spacing w:after="40" w:line="276"/>
      </w:pPr>
      <w:r>
        <w:rPr>
          <w:rFonts w:ascii="Arial" w:cs="Arial" w:eastAsia="Arial" w:hAnsi="Arial"/>
          <w:b w:val="false"/>
          <w:bCs w:val="false"/>
          <w:i w:val="false"/>
          <w:iCs w:val="false"/>
          <w:color w:val="000000"/>
          <w:sz w:val="22"/>
          <w:szCs w:val="22"/>
        </w:rPr>
        <w:t xml:space="preserve">C.C. / NIT No. [__________]</w:t>
      </w:r>
    </w:p>
    <w:p>
      <w:pPr>
        <w:keepNext w:val="false"/>
        <w:keepLines/>
        <w:spacing w:after="320" w:line="276"/>
      </w:pPr>
      <w:r>
        <w:rPr>
          <w:rFonts w:ascii="Arial" w:cs="Arial" w:eastAsia="Arial" w:hAnsi="Arial"/>
          <w:b/>
          <w:bCs/>
          <w:i w:val="false"/>
          <w:iCs w:val="false"/>
          <w:color w:val="000000"/>
          <w:sz w:val="22"/>
          <w:szCs w:val="22"/>
        </w:rPr>
        <w:t xml:space="preserve">LA CONTRAPARTE</w:t>
      </w:r>
    </w:p>
    <w:p>
      <w:r>
        <w:br w:type="page"/>
      </w:r>
    </w:p>
    <w:p>
      <w:pPr>
        <w:keepNext/>
        <w:spacing w:after="160" w:before="0" w:line="276"/>
        <w:jc w:val="left"/>
      </w:pPr>
      <w:r>
        <w:rPr>
          <w:rFonts w:ascii="Arial" w:cs="Arial" w:eastAsia="Arial" w:hAnsi="Arial"/>
          <w:b/>
          <w:bCs/>
          <w:i w:val="false"/>
          <w:iCs w:val="false"/>
          <w:color w:val="000000"/>
          <w:sz w:val="28"/>
          <w:szCs w:val="28"/>
        </w:rPr>
        <w:t xml:space="preserve">PARTE 3 — MATRIZ DE ADAPTACIÓN POR TIPO DE CONTRAPARTE</w:t>
      </w:r>
    </w:p>
    <w:p>
      <w:pPr>
        <w:spacing w:after="120" w:line="276"/>
        <w:jc w:val="both"/>
      </w:pPr>
      <w:r>
        <w:rPr>
          <w:rFonts w:ascii="Arial" w:cs="Arial" w:eastAsia="Arial" w:hAnsi="Arial"/>
          <w:b w:val="false"/>
          <w:bCs w:val="false"/>
          <w:i w:val="false"/>
          <w:iCs w:val="false"/>
          <w:color w:val="000000"/>
          <w:sz w:val="22"/>
          <w:szCs w:val="22"/>
        </w:rPr>
        <w:t xml:space="preserve">Este contrato es un modelo base. La siguiente tabla indica qué cláusulas deben ajustarse según el tipo de contraparte, antes de firmarlo.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550"/>
        <w:gridCol w:w="4000"/>
      </w:tblGrid>
      <w:tr>
        <w:tc>
          <w:tcPr>
            <w:tcW w:type="dxa" w:w="1800"/>
            <w:shd w:fill="D9D9D9" w:val="clear"/>
            <w:tcMar>
              <w:top w:type="dxa" w:w="80"/>
              <w:left w:type="dxa" w:w="100"/>
              <w:bottom w:type="dxa" w:w="80"/>
              <w:right w:type="dxa" w:w="100"/>
            </w:tcMar>
          </w:tcPr>
          <w:p>
            <w:r>
              <w:rPr>
                <w:rFonts w:ascii="Arial" w:cs="Arial" w:eastAsia="Arial" w:hAnsi="Arial"/>
                <w:b/>
                <w:bCs/>
                <w:i w:val="false"/>
                <w:iCs w:val="false"/>
                <w:color w:val="000000"/>
                <w:sz w:val="18"/>
                <w:szCs w:val="18"/>
              </w:rPr>
              <w:t xml:space="preserve">Tipo de contraparte</w:t>
            </w:r>
          </w:p>
        </w:tc>
        <w:tc>
          <w:tcPr>
            <w:tcW w:type="dxa" w:w="3550"/>
            <w:shd w:fill="D9D9D9" w:val="clear"/>
            <w:tcMar>
              <w:top w:type="dxa" w:w="80"/>
              <w:left w:type="dxa" w:w="100"/>
              <w:bottom w:type="dxa" w:w="80"/>
              <w:right w:type="dxa" w:w="100"/>
            </w:tcMar>
          </w:tcPr>
          <w:p>
            <w:r>
              <w:rPr>
                <w:rFonts w:ascii="Arial" w:cs="Arial" w:eastAsia="Arial" w:hAnsi="Arial"/>
                <w:b/>
                <w:bCs/>
                <w:i w:val="false"/>
                <w:iCs w:val="false"/>
                <w:color w:val="000000"/>
                <w:sz w:val="18"/>
                <w:szCs w:val="18"/>
              </w:rPr>
              <w:t xml:space="preserve">Cláusulas que deben revisarse o ajustarse</w:t>
            </w:r>
          </w:p>
        </w:tc>
        <w:tc>
          <w:tcPr>
            <w:tcW w:type="dxa" w:w="4000"/>
            <w:shd w:fill="D9D9D9" w:val="clear"/>
            <w:tcMar>
              <w:top w:type="dxa" w:w="80"/>
              <w:left w:type="dxa" w:w="100"/>
              <w:bottom w:type="dxa" w:w="80"/>
              <w:right w:type="dxa" w:w="100"/>
            </w:tcMar>
          </w:tcPr>
          <w:p>
            <w:r>
              <w:rPr>
                <w:rFonts w:ascii="Arial" w:cs="Arial" w:eastAsia="Arial" w:hAnsi="Arial"/>
                <w:b/>
                <w:bCs/>
                <w:i w:val="false"/>
                <w:iCs w:val="false"/>
                <w:color w:val="000000"/>
                <w:sz w:val="18"/>
                <w:szCs w:val="18"/>
              </w:rPr>
              <w:t xml:space="preserve">Ajuste recomendado</w:t>
            </w:r>
          </w:p>
        </w:tc>
      </w:tr>
      <w:tr>
        <w:tc>
          <w:tcPr>
            <w:tcW w:type="dxa" w:w="18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Trabajador</w:t>
            </w:r>
          </w:p>
        </w:tc>
        <w:tc>
          <w:tcPr>
            <w:tcW w:type="dxa" w:w="35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Primera (encabezado); Décima Cuarta (relación con otros contratos); Décima (usos indebidos).</w:t>
            </w:r>
          </w:p>
        </w:tc>
        <w:tc>
          <w:tcPr>
            <w:tcW w:type="dxa" w:w="40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Incorporar como cláusula o anexo del contrato de trabajo, no como documento aislado. Recordar que el deber de reserva ya existe por ley (art. 58-2 C.S.T.): el NDA lo hace explícito, no lo crea. No incluir cláusula de no competencia poslaboral sin contraprestación económica y análisis de proporcionalidad independiente.</w:t>
            </w:r>
          </w:p>
        </w:tc>
      </w:tr>
      <w:tr>
        <w:tc>
          <w:tcPr>
            <w:tcW w:type="dxa" w:w="18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Contratista / desarrollador</w:t>
            </w:r>
          </w:p>
        </w:tc>
        <w:tc>
          <w:tcPr>
            <w:tcW w:type="dxa" w:w="35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Octava (propiedad intelectual); Cuarta (si trata datos como Encargado); Décima Primera (duración).</w:t>
            </w:r>
          </w:p>
        </w:tc>
        <w:tc>
          <w:tcPr>
            <w:tcW w:type="dxa" w:w="40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Precisar en el Anexo 1 el alcance exacto del código y la documentación a los que tendrá acceso. Si el contrato de prestación de servicios ya regula propiedad intelectual, verificar que no haya contradicción con la Cláusula Octava.</w:t>
            </w:r>
          </w:p>
        </w:tc>
      </w:tr>
      <w:tr>
        <w:tc>
          <w:tcPr>
            <w:tcW w:type="dxa" w:w="18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Asesor comercial (prestación de servicios)</w:t>
            </w:r>
          </w:p>
        </w:tc>
        <w:tc>
          <w:tcPr>
            <w:tcW w:type="dxa" w:w="35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Tercera (alcance de la información comercial); Décima (usos indebidos, en especial contacto con comercios/usuarios).</w:t>
            </w:r>
          </w:p>
        </w:tc>
        <w:tc>
          <w:tcPr>
            <w:tcW w:type="dxa" w:w="40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Detallar en el Anexo 1 qué bases de datos comerciales o de contactos podrá consultar. Reforzar la prohibición de contactar comercios o usuarios conocidos por ZIPP con fines ajenos a la relación.</w:t>
            </w:r>
          </w:p>
        </w:tc>
      </w:tr>
      <w:tr>
        <w:tc>
          <w:tcPr>
            <w:tcW w:type="dxa" w:w="18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Domiciliario</w:t>
            </w:r>
          </w:p>
        </w:tc>
        <w:tc>
          <w:tcPr>
            <w:tcW w:type="dxa" w:w="35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Tercera (información relevante suele limitarse a datos de pedidos, rutas y usuarios); Cuarta (datos personales de usuarios); Sexta (seguridad, uso de la app).</w:t>
            </w:r>
          </w:p>
        </w:tc>
        <w:tc>
          <w:tcPr>
            <w:tcW w:type="dxa" w:w="40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Ajustar el alcance de la información confidencial a lo que el domiciliario efectivamente conoce (direcciones, datos de contacto de usuarios, rutas), evitando obligaciones desproporcionadas sobre información técnica o comercial a la que no tiene acceso.</w:t>
            </w:r>
          </w:p>
        </w:tc>
      </w:tr>
      <w:tr>
        <w:tc>
          <w:tcPr>
            <w:tcW w:type="dxa" w:w="18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Comercio afiliado</w:t>
            </w:r>
          </w:p>
        </w:tc>
        <w:tc>
          <w:tcPr>
            <w:tcW w:type="dxa" w:w="35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Novena (información de terceros: la del propio comercio y la de otros comercios/usuarios); Décima Cuarta (relación con el contrato de afiliación).</w:t>
            </w:r>
          </w:p>
        </w:tc>
        <w:tc>
          <w:tcPr>
            <w:tcW w:type="dxa" w:w="40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Suscribir como anexo del contrato de afiliación. Aclarar que la información del comercio (menú, precios, ventas) es confidencial frente a otros comercios y frente a terceros, y que ZIPP también protege la información que el comercio le entrega.</w:t>
            </w:r>
          </w:p>
        </w:tc>
      </w:tr>
      <w:tr>
        <w:tc>
          <w:tcPr>
            <w:tcW w:type="dxa" w:w="18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Proveedor tecnológico</w:t>
            </w:r>
          </w:p>
        </w:tc>
        <w:tc>
          <w:tcPr>
            <w:tcW w:type="dxa" w:w="35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Cuarta (usualmente actúa como Encargado del Tratamiento); Sexta (seguridad de infraestructura); Octava (propiedad de desarrollos).</w:t>
            </w:r>
          </w:p>
        </w:tc>
        <w:tc>
          <w:tcPr>
            <w:tcW w:type="dxa" w:w="40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Verificar si requiere el Anexo 3 (contrato de transmisión de datos) por tratar datos personales por cuenta de ZIPP. Detallar el alcance de accesos a infraestructura en el Anexo 2.</w:t>
            </w:r>
          </w:p>
        </w:tc>
      </w:tr>
      <w:tr>
        <w:tc>
          <w:tcPr>
            <w:tcW w:type="dxa" w:w="18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Aliado comercial</w:t>
            </w:r>
          </w:p>
        </w:tc>
        <w:tc>
          <w:tcPr>
            <w:tcW w:type="dxa" w:w="355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Cláusula Tercera (alcance suele limitarse a términos comerciales de la alianza); Décima Cuarta (relación con el contrato de alianza).</w:t>
            </w:r>
          </w:p>
        </w:tc>
        <w:tc>
          <w:tcPr>
            <w:tcW w:type="dxa" w:w="4000"/>
            <w:tcMar>
              <w:top w:type="dxa" w:w="80"/>
              <w:left w:type="dxa" w:w="100"/>
              <w:bottom w:type="dxa" w:w="80"/>
              <w:right w:type="dxa" w:w="100"/>
            </w:tcMar>
          </w:tcPr>
          <w:p>
            <w:r>
              <w:rPr>
                <w:rFonts w:ascii="Arial" w:cs="Arial" w:eastAsia="Arial" w:hAnsi="Arial"/>
                <w:b w:val="false"/>
                <w:bCs w:val="false"/>
                <w:i w:val="false"/>
                <w:iCs w:val="false"/>
                <w:color w:val="000000"/>
                <w:sz w:val="18"/>
                <w:szCs w:val="18"/>
              </w:rPr>
              <w:t xml:space="preserve">Suscribir como anexo del contrato de alianza comercial. Limitar la información confidencial compartida a lo estrictamente necesario para la alianza, evitando dar acceso genérico a toda la información de ZIPP.</w:t>
            </w:r>
          </w:p>
        </w:tc>
      </w:tr>
    </w:tbl>
    <w:p>
      <w:r>
        <w:br w:type="page"/>
      </w:r>
    </w:p>
    <w:p>
      <w:pPr>
        <w:keepNext/>
        <w:spacing w:after="160" w:before="0" w:line="276"/>
        <w:jc w:val="left"/>
      </w:pPr>
      <w:r>
        <w:rPr>
          <w:rFonts w:ascii="Arial" w:cs="Arial" w:eastAsia="Arial" w:hAnsi="Arial"/>
          <w:b/>
          <w:bCs/>
          <w:i w:val="false"/>
          <w:iCs w:val="false"/>
          <w:color w:val="000000"/>
          <w:sz w:val="28"/>
          <w:szCs w:val="28"/>
        </w:rPr>
        <w:t xml:space="preserve">PARTE 4 — CHECKLIST DE FIRMA</w:t>
      </w:r>
    </w:p>
    <w:p>
      <w:pPr>
        <w:spacing w:after="120" w:line="276"/>
        <w:jc w:val="both"/>
      </w:pPr>
      <w:r>
        <w:rPr>
          <w:rFonts w:ascii="Arial" w:cs="Arial" w:eastAsia="Arial" w:hAnsi="Arial"/>
          <w:b w:val="false"/>
          <w:bCs w:val="false"/>
          <w:i w:val="false"/>
          <w:iCs w:val="false"/>
          <w:color w:val="000000"/>
          <w:sz w:val="22"/>
          <w:szCs w:val="22"/>
        </w:rPr>
        <w:t xml:space="preserve">Antes de firmar cada NDA, ZIPP debe verificar:</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	</w:t>
      </w:r>
      <w:r>
        <w:rPr>
          <w:rFonts w:ascii="Arial" w:cs="Arial" w:eastAsia="Arial" w:hAnsi="Arial"/>
          <w:b w:val="false"/>
          <w:bCs w:val="false"/>
          <w:i w:val="false"/>
          <w:iCs w:val="false"/>
          <w:color w:val="000000"/>
          <w:sz w:val="22"/>
          <w:szCs w:val="22"/>
        </w:rPr>
        <w:t xml:space="preserve">Identidad de LA CONTRAPARTE (cédula de ciudadanía o documento equivalente para extranjeros).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2.	</w:t>
      </w:r>
      <w:r>
        <w:rPr>
          <w:rFonts w:ascii="Arial" w:cs="Arial" w:eastAsia="Arial" w:hAnsi="Arial"/>
          <w:b w:val="false"/>
          <w:bCs w:val="false"/>
          <w:i w:val="false"/>
          <w:iCs w:val="false"/>
          <w:color w:val="000000"/>
          <w:sz w:val="22"/>
          <w:szCs w:val="22"/>
        </w:rPr>
        <w:t xml:space="preserve">Documento de identificación o certificado de existencia y representación legal, si LA CONTRAPARTE es una persona jurídica.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3.	</w:t>
      </w:r>
      <w:r>
        <w:rPr>
          <w:rFonts w:ascii="Arial" w:cs="Arial" w:eastAsia="Arial" w:hAnsi="Arial"/>
          <w:b w:val="false"/>
          <w:bCs w:val="false"/>
          <w:i w:val="false"/>
          <w:iCs w:val="false"/>
          <w:color w:val="000000"/>
          <w:sz w:val="22"/>
          <w:szCs w:val="22"/>
        </w:rPr>
        <w:t xml:space="preserve">Facultades del representante legal de LA CONTRAPARTE para suscribir el contrato, cuando aplique.</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4.	</w:t>
      </w:r>
      <w:r>
        <w:rPr>
          <w:rFonts w:ascii="Arial" w:cs="Arial" w:eastAsia="Arial" w:hAnsi="Arial"/>
          <w:b w:val="false"/>
          <w:bCs w:val="false"/>
          <w:i w:val="false"/>
          <w:iCs w:val="false"/>
          <w:color w:val="000000"/>
          <w:sz w:val="22"/>
          <w:szCs w:val="22"/>
        </w:rPr>
        <w:t xml:space="preserve">Correo electrónico verificado de LA CONTRAPARTE, para notificaciones y, si aplica, para la plataforma de firma electrónica.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5.	</w:t>
      </w:r>
      <w:r>
        <w:rPr>
          <w:rFonts w:ascii="Arial" w:cs="Arial" w:eastAsia="Arial" w:hAnsi="Arial"/>
          <w:b w:val="false"/>
          <w:bCs w:val="false"/>
          <w:i w:val="false"/>
          <w:iCs w:val="false"/>
          <w:color w:val="000000"/>
          <w:sz w:val="22"/>
          <w:szCs w:val="22"/>
        </w:rPr>
        <w:t xml:space="preserve">Método de firma acordado (física, electrónica o por plataforma digital) y su registro o evidencia.</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6.	</w:t>
      </w:r>
      <w:r>
        <w:rPr>
          <w:rFonts w:ascii="Arial" w:cs="Arial" w:eastAsia="Arial" w:hAnsi="Arial"/>
          <w:b w:val="false"/>
          <w:bCs w:val="false"/>
          <w:i w:val="false"/>
          <w:iCs w:val="false"/>
          <w:color w:val="000000"/>
          <w:sz w:val="22"/>
          <w:szCs w:val="22"/>
        </w:rPr>
        <w:t xml:space="preserve">Anexos que correspondan según el tipo de contraparte (Anexo 1, 2 y/o 3), completos y consistentes con la Parte 3 de este documento.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7.	</w:t>
      </w:r>
      <w:r>
        <w:rPr>
          <w:rFonts w:ascii="Arial" w:cs="Arial" w:eastAsia="Arial" w:hAnsi="Arial"/>
          <w:b w:val="false"/>
          <w:bCs w:val="false"/>
          <w:i w:val="false"/>
          <w:iCs w:val="false"/>
          <w:color w:val="000000"/>
          <w:sz w:val="22"/>
          <w:szCs w:val="22"/>
        </w:rPr>
        <w:t xml:space="preserve">Accesos y credenciales efectivamente entregados, registrados en el Anexo 2 antes de otorgarlos.</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8.	</w:t>
      </w:r>
      <w:r>
        <w:rPr>
          <w:rFonts w:ascii="Arial" w:cs="Arial" w:eastAsia="Arial" w:hAnsi="Arial"/>
          <w:b w:val="false"/>
          <w:bCs w:val="false"/>
          <w:i w:val="false"/>
          <w:iCs w:val="false"/>
          <w:color w:val="000000"/>
          <w:sz w:val="22"/>
          <w:szCs w:val="22"/>
        </w:rPr>
        <w:t xml:space="preserve">Información específica que se entregará a LA CONTRAPARTE, descrita en el Anexo 1.</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9.	</w:t>
      </w:r>
      <w:r>
        <w:rPr>
          <w:rFonts w:ascii="Arial" w:cs="Arial" w:eastAsia="Arial" w:hAnsi="Arial"/>
          <w:b w:val="false"/>
          <w:bCs w:val="false"/>
          <w:i w:val="false"/>
          <w:iCs w:val="false"/>
          <w:color w:val="000000"/>
          <w:sz w:val="22"/>
          <w:szCs w:val="22"/>
        </w:rPr>
        <w:t xml:space="preserve">Fecha de inicio de la relación y del acceso a la información.</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10.	</w:t>
      </w:r>
      <w:r>
        <w:rPr>
          <w:rFonts w:ascii="Arial" w:cs="Arial" w:eastAsia="Arial" w:hAnsi="Arial"/>
          <w:b w:val="false"/>
          <w:bCs w:val="false"/>
          <w:i w:val="false"/>
          <w:iCs w:val="false"/>
          <w:color w:val="000000"/>
          <w:sz w:val="22"/>
          <w:szCs w:val="22"/>
        </w:rPr>
        <w:t xml:space="preserve">Fecha de terminación prevista, si la relación es a término fijo, y plazo de confidencialidad aplicable según la Cláusula Décima Primera.</w:t>
      </w:r>
    </w:p>
    <w:p>
      <w:r>
        <w:br w:type="page"/>
      </w:r>
    </w:p>
    <w:p>
      <w:pPr>
        <w:keepNext/>
        <w:spacing w:after="160" w:before="0" w:line="276"/>
        <w:jc w:val="left"/>
      </w:pPr>
      <w:r>
        <w:rPr>
          <w:rFonts w:ascii="Arial" w:cs="Arial" w:eastAsia="Arial" w:hAnsi="Arial"/>
          <w:b/>
          <w:bCs/>
          <w:i w:val="false"/>
          <w:iCs w:val="false"/>
          <w:color w:val="000000"/>
          <w:sz w:val="28"/>
          <w:szCs w:val="28"/>
        </w:rPr>
        <w:t xml:space="preserve">PARTE 5 — FUENTES</w:t>
      </w:r>
    </w:p>
    <w:p>
      <w:pPr>
        <w:spacing w:after="120" w:line="276"/>
        <w:jc w:val="both"/>
      </w:pPr>
      <w:r>
        <w:rPr>
          <w:rFonts w:ascii="Arial" w:cs="Arial" w:eastAsia="Arial" w:hAnsi="Arial"/>
          <w:b w:val="false"/>
          <w:bCs w:val="false"/>
          <w:i w:val="false"/>
          <w:iCs w:val="false"/>
          <w:color w:val="000000"/>
          <w:sz w:val="22"/>
          <w:szCs w:val="22"/>
        </w:rPr>
        <w:t xml:space="preserve">Fuentes jurídicas oficiales utilizadas para este documento:</w:t>
      </w:r>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	</w:t>
      </w:r>
      <w:r>
        <w:rPr>
          <w:rFonts w:ascii="Arial" w:cs="Arial" w:eastAsia="Arial" w:hAnsi="Arial"/>
          <w:b w:val="false"/>
          <w:bCs w:val="false"/>
          <w:i w:val="false"/>
          <w:iCs w:val="false"/>
          <w:color w:val="000000"/>
          <w:sz w:val="22"/>
          <w:szCs w:val="22"/>
        </w:rPr>
        <w:t xml:space="preserve">Ley 1581 de 2012 — Función Pública, Gestor Normativo — </w:t>
      </w:r>
      <w:hyperlink w:history="1" r:id="rIdlsoqqstiiho-eiitxfkau">
        <w:r>
          <w:rPr>
            <w:rStyle w:val="Hyperlink"/>
            <w:rFonts w:ascii="Arial" w:cs="Arial" w:eastAsia="Arial" w:hAnsi="Arial"/>
            <w:color w:val="1155CC"/>
            <w:sz w:val="18"/>
            <w:szCs w:val="18"/>
            <w:u w:val="single"/>
          </w:rPr>
          <w:t xml:space="preserve">https://www.funcionpublica.gov.co/eva/gestornormativo/norma.php?i=49981</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2.	</w:t>
      </w:r>
      <w:r>
        <w:rPr>
          <w:rFonts w:ascii="Arial" w:cs="Arial" w:eastAsia="Arial" w:hAnsi="Arial"/>
          <w:b w:val="false"/>
          <w:bCs w:val="false"/>
          <w:i w:val="false"/>
          <w:iCs w:val="false"/>
          <w:color w:val="000000"/>
          <w:sz w:val="22"/>
          <w:szCs w:val="22"/>
        </w:rPr>
        <w:t xml:space="preserve">Ley 1581 de 2012 — SUIN-Juriscol — </w:t>
      </w:r>
      <w:hyperlink w:history="1" r:id="rIdb-uvrx68landkyntvzvlk">
        <w:r>
          <w:rPr>
            <w:rStyle w:val="Hyperlink"/>
            <w:rFonts w:ascii="Arial" w:cs="Arial" w:eastAsia="Arial" w:hAnsi="Arial"/>
            <w:color w:val="1155CC"/>
            <w:sz w:val="18"/>
            <w:szCs w:val="18"/>
            <w:u w:val="single"/>
          </w:rPr>
          <w:t xml:space="preserve">https://www.suin-juriscol.gov.co/viewDocument.asp?ruta=Leyes/1684507</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3.	</w:t>
      </w:r>
      <w:r>
        <w:rPr>
          <w:rFonts w:ascii="Arial" w:cs="Arial" w:eastAsia="Arial" w:hAnsi="Arial"/>
          <w:b w:val="false"/>
          <w:bCs w:val="false"/>
          <w:i w:val="false"/>
          <w:iCs w:val="false"/>
          <w:color w:val="000000"/>
          <w:sz w:val="22"/>
          <w:szCs w:val="22"/>
        </w:rPr>
        <w:t xml:space="preserve">Decreto 1074 de 2015 — Función Pública, Gestor Normativo — </w:t>
      </w:r>
      <w:hyperlink w:history="1" r:id="rIdeokijk7anb6bcxpvmem6b">
        <w:r>
          <w:rPr>
            <w:rStyle w:val="Hyperlink"/>
            <w:rFonts w:ascii="Arial" w:cs="Arial" w:eastAsia="Arial" w:hAnsi="Arial"/>
            <w:color w:val="1155CC"/>
            <w:sz w:val="18"/>
            <w:szCs w:val="18"/>
            <w:u w:val="single"/>
          </w:rPr>
          <w:t xml:space="preserve">https://www.funcionpublica.gov.co/eva/gestornormativo/norma.php?i=76608</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4.	</w:t>
      </w:r>
      <w:r>
        <w:rPr>
          <w:rFonts w:ascii="Arial" w:cs="Arial" w:eastAsia="Arial" w:hAnsi="Arial"/>
          <w:b w:val="false"/>
          <w:bCs w:val="false"/>
          <w:i w:val="false"/>
          <w:iCs w:val="false"/>
          <w:color w:val="000000"/>
          <w:sz w:val="22"/>
          <w:szCs w:val="22"/>
        </w:rPr>
        <w:t xml:space="preserve">Ley 1266 de 2008 — Función Pública, Gestor Normativo — </w:t>
      </w:r>
      <w:hyperlink w:history="1" r:id="rIdawme6st78r4456xilbdem">
        <w:r>
          <w:rPr>
            <w:rStyle w:val="Hyperlink"/>
            <w:rFonts w:ascii="Arial" w:cs="Arial" w:eastAsia="Arial" w:hAnsi="Arial"/>
            <w:color w:val="1155CC"/>
            <w:sz w:val="18"/>
            <w:szCs w:val="18"/>
            <w:u w:val="single"/>
          </w:rPr>
          <w:t xml:space="preserve">https://www.funcionpublica.gov.co/eva/gestornormativo/norma.php?i=34488</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5.	</w:t>
      </w:r>
      <w:r>
        <w:rPr>
          <w:rFonts w:ascii="Arial" w:cs="Arial" w:eastAsia="Arial" w:hAnsi="Arial"/>
          <w:b w:val="false"/>
          <w:bCs w:val="false"/>
          <w:i w:val="false"/>
          <w:iCs w:val="false"/>
          <w:color w:val="000000"/>
          <w:sz w:val="22"/>
          <w:szCs w:val="22"/>
        </w:rPr>
        <w:t xml:space="preserve">Ley 527 de 1999 — Función Pública, Gestor Normativo — </w:t>
      </w:r>
      <w:hyperlink w:history="1" r:id="rIdbic7ml8sptotutndbrged">
        <w:r>
          <w:rPr>
            <w:rStyle w:val="Hyperlink"/>
            <w:rFonts w:ascii="Arial" w:cs="Arial" w:eastAsia="Arial" w:hAnsi="Arial"/>
            <w:color w:val="1155CC"/>
            <w:sz w:val="18"/>
            <w:szCs w:val="18"/>
            <w:u w:val="single"/>
          </w:rPr>
          <w:t xml:space="preserve">https://www.funcionpublica.gov.co/eva/gestornormativo/norma.php?i=4276</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6.	</w:t>
      </w:r>
      <w:r>
        <w:rPr>
          <w:rFonts w:ascii="Arial" w:cs="Arial" w:eastAsia="Arial" w:hAnsi="Arial"/>
          <w:b w:val="false"/>
          <w:bCs w:val="false"/>
          <w:i w:val="false"/>
          <w:iCs w:val="false"/>
          <w:color w:val="000000"/>
          <w:sz w:val="22"/>
          <w:szCs w:val="22"/>
        </w:rPr>
        <w:t xml:space="preserve">Decreto 2364 de 2012 — Función Pública, Gestor Normativo — </w:t>
      </w:r>
      <w:hyperlink w:history="1" r:id="rIdsaszuvho107kd_kvxndy9">
        <w:r>
          <w:rPr>
            <w:rStyle w:val="Hyperlink"/>
            <w:rFonts w:ascii="Arial" w:cs="Arial" w:eastAsia="Arial" w:hAnsi="Arial"/>
            <w:color w:val="1155CC"/>
            <w:sz w:val="18"/>
            <w:szCs w:val="18"/>
            <w:u w:val="single"/>
          </w:rPr>
          <w:t xml:space="preserve">https://www.funcionpublica.gov.co/eva/gestornormativo/norma.php?i=50583</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7.	</w:t>
      </w:r>
      <w:r>
        <w:rPr>
          <w:rFonts w:ascii="Arial" w:cs="Arial" w:eastAsia="Arial" w:hAnsi="Arial"/>
          <w:b w:val="false"/>
          <w:bCs w:val="false"/>
          <w:i w:val="false"/>
          <w:iCs w:val="false"/>
          <w:color w:val="000000"/>
          <w:sz w:val="22"/>
          <w:szCs w:val="22"/>
        </w:rPr>
        <w:t xml:space="preserve">Ley 23 de 1982 — Función Pública, Gestor Normativo — </w:t>
      </w:r>
      <w:hyperlink w:history="1" r:id="rId9yxemocfy1vdzurcu5nu3">
        <w:r>
          <w:rPr>
            <w:rStyle w:val="Hyperlink"/>
            <w:rFonts w:ascii="Arial" w:cs="Arial" w:eastAsia="Arial" w:hAnsi="Arial"/>
            <w:color w:val="1155CC"/>
            <w:sz w:val="18"/>
            <w:szCs w:val="18"/>
            <w:u w:val="single"/>
          </w:rPr>
          <w:t xml:space="preserve">https://www.funcionpublica.gov.co/eva/gestornormativo/norma.php?i=3431</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8.	</w:t>
      </w:r>
      <w:r>
        <w:rPr>
          <w:rFonts w:ascii="Arial" w:cs="Arial" w:eastAsia="Arial" w:hAnsi="Arial"/>
          <w:b w:val="false"/>
          <w:bCs w:val="false"/>
          <w:i w:val="false"/>
          <w:iCs w:val="false"/>
          <w:color w:val="000000"/>
          <w:sz w:val="22"/>
          <w:szCs w:val="22"/>
        </w:rPr>
        <w:t xml:space="preserve">Ley 256 de 1996 — Función Pública, Gestor Normativo — </w:t>
      </w:r>
      <w:hyperlink w:history="1" r:id="rIdquqsnzc3qh25dgc8qpe8j">
        <w:r>
          <w:rPr>
            <w:rStyle w:val="Hyperlink"/>
            <w:rFonts w:ascii="Arial" w:cs="Arial" w:eastAsia="Arial" w:hAnsi="Arial"/>
            <w:color w:val="1155CC"/>
            <w:sz w:val="18"/>
            <w:szCs w:val="18"/>
            <w:u w:val="single"/>
          </w:rPr>
          <w:t xml:space="preserve">https://www.funcionpublica.gov.co/eva/gestornormativo/norma.php?i=38871</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9.	</w:t>
      </w:r>
      <w:r>
        <w:rPr>
          <w:rFonts w:ascii="Arial" w:cs="Arial" w:eastAsia="Arial" w:hAnsi="Arial"/>
          <w:b w:val="false"/>
          <w:bCs w:val="false"/>
          <w:i w:val="false"/>
          <w:iCs w:val="false"/>
          <w:color w:val="000000"/>
          <w:sz w:val="22"/>
          <w:szCs w:val="22"/>
        </w:rPr>
        <w:t xml:space="preserve">Decisión 486 de 2000, Comunidad Andina — Ministerio de Comercio, Industria y Turismo — </w:t>
      </w:r>
      <w:hyperlink w:history="1" r:id="rIdqisx2g9ry9ydkgatzclgm">
        <w:r>
          <w:rPr>
            <w:rStyle w:val="Hyperlink"/>
            <w:rFonts w:ascii="Arial" w:cs="Arial" w:eastAsia="Arial" w:hAnsi="Arial"/>
            <w:color w:val="1155CC"/>
            <w:sz w:val="18"/>
            <w:szCs w:val="18"/>
            <w:u w:val="single"/>
          </w:rPr>
          <w:t xml:space="preserve">https://www.mincit.gov.co/ministerio/normograma-sig/procesos-misionales/facilitacion-del-comercio-y-defensa-comercial/decisiones-de-la-comunidad-andina/decision-486-de-2000.aspx</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10.	</w:t>
      </w:r>
      <w:r>
        <w:rPr>
          <w:rFonts w:ascii="Arial" w:cs="Arial" w:eastAsia="Arial" w:hAnsi="Arial"/>
          <w:b w:val="false"/>
          <w:bCs w:val="false"/>
          <w:i w:val="false"/>
          <w:iCs w:val="false"/>
          <w:color w:val="000000"/>
          <w:sz w:val="22"/>
          <w:szCs w:val="22"/>
        </w:rPr>
        <w:t xml:space="preserve">Ley 57 de 1887 (Código Civil) — Función Pública, Gestor Normativo — </w:t>
      </w:r>
      <w:hyperlink w:history="1" r:id="rId_bc2u1pal6xcbjlvej5qf">
        <w:r>
          <w:rPr>
            <w:rStyle w:val="Hyperlink"/>
            <w:rFonts w:ascii="Arial" w:cs="Arial" w:eastAsia="Arial" w:hAnsi="Arial"/>
            <w:color w:val="1155CC"/>
            <w:sz w:val="18"/>
            <w:szCs w:val="18"/>
            <w:u w:val="single"/>
          </w:rPr>
          <w:t xml:space="preserve">https://www.funcionpublica.gov.co/eva/gestornormativo/norma.php?i=39535</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11.	</w:t>
      </w:r>
      <w:r>
        <w:rPr>
          <w:rFonts w:ascii="Arial" w:cs="Arial" w:eastAsia="Arial" w:hAnsi="Arial"/>
          <w:b w:val="false"/>
          <w:bCs w:val="false"/>
          <w:i w:val="false"/>
          <w:iCs w:val="false"/>
          <w:color w:val="000000"/>
          <w:sz w:val="22"/>
          <w:szCs w:val="22"/>
        </w:rPr>
        <w:t xml:space="preserve">Decreto 410 de 1971 (Código de Comercio) — Función Pública, Gestor Normativo — </w:t>
      </w:r>
      <w:hyperlink w:history="1" r:id="rIdhi9dqnloi3gsfv6jm3p42">
        <w:r>
          <w:rPr>
            <w:rStyle w:val="Hyperlink"/>
            <w:rFonts w:ascii="Arial" w:cs="Arial" w:eastAsia="Arial" w:hAnsi="Arial"/>
            <w:color w:val="1155CC"/>
            <w:sz w:val="18"/>
            <w:szCs w:val="18"/>
            <w:u w:val="single"/>
          </w:rPr>
          <w:t xml:space="preserve">https://www.funcionpublica.gov.co/eva/gestornormativo/norma.php?i=41102</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12.	</w:t>
      </w:r>
      <w:r>
        <w:rPr>
          <w:rFonts w:ascii="Arial" w:cs="Arial" w:eastAsia="Arial" w:hAnsi="Arial"/>
          <w:b w:val="false"/>
          <w:bCs w:val="false"/>
          <w:i w:val="false"/>
          <w:iCs w:val="false"/>
          <w:color w:val="000000"/>
          <w:sz w:val="22"/>
          <w:szCs w:val="22"/>
        </w:rPr>
        <w:t xml:space="preserve">Decreto 2663 de 1950 (Código Sustantivo del Trabajo) — Función Pública, Gestor Normativo — </w:t>
      </w:r>
      <w:hyperlink w:history="1" r:id="rIdym_34pe8dhwar4hcl2b2z">
        <w:r>
          <w:rPr>
            <w:rStyle w:val="Hyperlink"/>
            <w:rFonts w:ascii="Arial" w:cs="Arial" w:eastAsia="Arial" w:hAnsi="Arial"/>
            <w:color w:val="1155CC"/>
            <w:sz w:val="18"/>
            <w:szCs w:val="18"/>
            <w:u w:val="single"/>
          </w:rPr>
          <w:t xml:space="preserve">https://www.funcionpublica.gov.co/eva/gestornormativo/norma.php?i=199983</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13.	</w:t>
      </w:r>
      <w:r>
        <w:rPr>
          <w:rFonts w:ascii="Arial" w:cs="Arial" w:eastAsia="Arial" w:hAnsi="Arial"/>
          <w:b w:val="false"/>
          <w:bCs w:val="false"/>
          <w:i w:val="false"/>
          <w:iCs w:val="false"/>
          <w:color w:val="000000"/>
          <w:sz w:val="22"/>
          <w:szCs w:val="22"/>
        </w:rPr>
        <w:t xml:space="preserve">Ley 1563 de 2012 (Estatuto de Arbitraje) — Función Pública, Gestor Normativo — </w:t>
      </w:r>
      <w:hyperlink w:history="1" r:id="rIdmwx2w4p8cedj43cmyt_78">
        <w:r>
          <w:rPr>
            <w:rStyle w:val="Hyperlink"/>
            <w:rFonts w:ascii="Arial" w:cs="Arial" w:eastAsia="Arial" w:hAnsi="Arial"/>
            <w:color w:val="1155CC"/>
            <w:sz w:val="18"/>
            <w:szCs w:val="18"/>
            <w:u w:val="single"/>
          </w:rPr>
          <w:t xml:space="preserve">https://www.funcionpublica.gov.co/eva/gestornormativo/norma.php?i=48366</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14.	</w:t>
      </w:r>
      <w:r>
        <w:rPr>
          <w:rFonts w:ascii="Arial" w:cs="Arial" w:eastAsia="Arial" w:hAnsi="Arial"/>
          <w:b w:val="false"/>
          <w:bCs w:val="false"/>
          <w:i w:val="false"/>
          <w:iCs w:val="false"/>
          <w:color w:val="000000"/>
          <w:sz w:val="22"/>
          <w:szCs w:val="22"/>
        </w:rPr>
        <w:t xml:space="preserve">Superintendencia de Industria y Comercio — Concepto: ¿puede protegerse un secreto empresarial a través del registro ante la SIC? — </w:t>
      </w:r>
      <w:hyperlink w:history="1" r:id="rId2fotjqitxozgbxagwewm0">
        <w:r>
          <w:rPr>
            <w:rStyle w:val="Hyperlink"/>
            <w:rFonts w:ascii="Arial" w:cs="Arial" w:eastAsia="Arial" w:hAnsi="Arial"/>
            <w:color w:val="1155CC"/>
            <w:sz w:val="18"/>
            <w:szCs w:val="18"/>
            <w:u w:val="single"/>
          </w:rPr>
          <w:t xml:space="preserve">https://sedeelectronica.sic.gov.co/publicaciones/boletin-juridico/concepto/puede-protegerse-un-secreto-empresarial-traves-del-registro-ante-la-sic</w:t>
        </w:r>
      </w:hyperlink>
    </w:p>
    <w:p>
      <w:pPr>
        <w:tabs>
          <w:tab w:val="left" w:pos="432"/>
        </w:tabs>
        <w:spacing w:after="120" w:line="276"/>
        <w:ind w:left="432" w:hanging="432"/>
        <w:jc w:val="both"/>
      </w:pPr>
      <w:r>
        <w:rPr>
          <w:rFonts w:ascii="Arial" w:cs="Arial" w:eastAsia="Arial" w:hAnsi="Arial"/>
          <w:b w:val="false"/>
          <w:bCs w:val="false"/>
          <w:i w:val="false"/>
          <w:iCs w:val="false"/>
          <w:color w:val="000000"/>
          <w:sz w:val="22"/>
          <w:szCs w:val="22"/>
        </w:rPr>
        <w:t xml:space="preserve">15.	</w:t>
      </w:r>
      <w:r>
        <w:rPr>
          <w:rFonts w:ascii="Arial" w:cs="Arial" w:eastAsia="Arial" w:hAnsi="Arial"/>
          <w:b w:val="false"/>
          <w:bCs w:val="false"/>
          <w:i w:val="false"/>
          <w:iCs w:val="false"/>
          <w:color w:val="000000"/>
          <w:sz w:val="22"/>
          <w:szCs w:val="22"/>
        </w:rPr>
        <w:t xml:space="preserve">Superintendencia de Industria y Comercio — Sobre la protección de datos personales — </w:t>
      </w:r>
      <w:hyperlink w:history="1" r:id="rIdai1fd1csu-3pp3yp13mxl">
        <w:r>
          <w:rPr>
            <w:rStyle w:val="Hyperlink"/>
            <w:rFonts w:ascii="Arial" w:cs="Arial" w:eastAsia="Arial" w:hAnsi="Arial"/>
            <w:color w:val="1155CC"/>
            <w:sz w:val="18"/>
            <w:szCs w:val="18"/>
            <w:u w:val="single"/>
          </w:rPr>
          <w:t xml:space="preserve">https://www.sic.gov.co/sobre-la-proteccion-de-datos-personales</w:t>
        </w:r>
      </w:hyperlink>
    </w:p>
    <w:p>
      <w:pPr>
        <w:spacing w:before="240"/>
      </w:pPr>
    </w:p>
    <w:p>
      <w:pPr>
        <w:spacing w:after="120" w:line="276"/>
        <w:jc w:val="both"/>
      </w:pPr>
      <w:r>
        <w:rPr>
          <w:rFonts w:ascii="Arial" w:cs="Arial" w:eastAsia="Arial" w:hAnsi="Arial"/>
          <w:b w:val="false"/>
          <w:bCs w:val="false"/>
          <w:i w:val="false"/>
          <w:iCs w:val="false"/>
          <w:color w:val="000000"/>
          <w:sz w:val="22"/>
          <w:szCs w:val="22"/>
        </w:rPr>
        <w:t xml:space="preserve">Este documento fue elaborado con apoyo de investigación jurídica automatizada, con base en las fuentes citadas. No constituye concepto jurídico definitivo ni asesoría legal vinculante; se recomienda su revisión por un abogado colombiano antes de la firma, especialmente para fijar los plazos, montos y anexos específicos de cada relación, y para confirmar la vigencia de las normas citadas al momento de la firma.</w:t>
      </w:r>
    </w:p>
    <w:p>
      <w:pPr>
        <w:spacing w:before="360"/>
      </w:pPr>
    </w:p>
    <w:p>
      <w:pPr>
        <w:spacing w:after="20" w:line="276"/>
      </w:pPr>
      <w:r>
        <w:rPr>
          <w:rFonts w:ascii="Arial" w:cs="Arial" w:eastAsia="Arial" w:hAnsi="Arial"/>
          <w:b w:val="false"/>
          <w:bCs w:val="false"/>
          <w:i w:val="false"/>
          <w:iCs w:val="false"/>
          <w:color w:val="595959"/>
          <w:sz w:val="18"/>
          <w:szCs w:val="18"/>
        </w:rPr>
        <w:t xml:space="preserve">Versión: 1.0</w:t>
      </w:r>
    </w:p>
    <w:p>
      <w:pPr>
        <w:spacing w:after="20" w:line="276"/>
      </w:pPr>
      <w:r>
        <w:rPr>
          <w:rFonts w:ascii="Arial" w:cs="Arial" w:eastAsia="Arial" w:hAnsi="Arial"/>
          <w:b w:val="false"/>
          <w:bCs w:val="false"/>
          <w:i w:val="false"/>
          <w:iCs w:val="false"/>
          <w:color w:val="595959"/>
          <w:sz w:val="18"/>
          <w:szCs w:val="18"/>
        </w:rPr>
        <w:t xml:space="preserve">Fecha de elaboración: 22 de septiembre de 2026</w:t>
      </w:r>
    </w:p>
    <w:sectPr>
      <w:headerReference w:type="default" r:id="rId7"/>
      <w:headerReference w:type="first" r:id="rId8"/>
      <w:footerReference w:type="default" r:id="rId9"/>
      <w:footerReference w:type="first" r:id="rId10"/>
      <w:pgSz w:w="12240" w:h="15840"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Arial" w:cs="Arial" w:eastAsia="Arial" w:hAnsi="Arial"/>
        <w:b/>
        <w:bCs/>
        <w:i w:val="false"/>
        <w:iCs w:val="false"/>
        <w:color w:val="595959"/>
        <w:sz w:val="16"/>
        <w:szCs w:val="16"/>
      </w:rPr>
      <w:t xml:space="preserve">ZIPP</w:t>
    </w:r>
  </w:p>
  <w:p>
    <w:pPr>
      <w:jc w:val="right"/>
    </w:pPr>
    <w:r>
      <w:rPr>
        <w:rFonts w:ascii="Arial" w:cs="Arial" w:eastAsia="Arial" w:hAnsi="Arial"/>
        <w:b w:val="false"/>
        <w:bCs w:val="false"/>
        <w:i w:val="false"/>
        <w:iCs w:val="false"/>
        <w:color w:val="595959"/>
        <w:sz w:val="16"/>
        <w:szCs w:val="16"/>
      </w:rPr>
      <w:t xml:space="preserve">Contrato de Confidencialidad, Protección de Información y Tratamiento de Datos Personales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soqqstiiho-eiitxfkau" Type="http://schemas.openxmlformats.org/officeDocument/2006/relationships/hyperlink" Target="https://www.funcionpublica.gov.co/eva/gestornormativo/norma.php?i=49981" TargetMode="External"/><Relationship Id="rIdb-uvrx68landkyntvzvlk" Type="http://schemas.openxmlformats.org/officeDocument/2006/relationships/hyperlink" Target="https://www.suin-juriscol.gov.co/viewDocument.asp?ruta=Leyes/1684507" TargetMode="External"/><Relationship Id="rIdeokijk7anb6bcxpvmem6b" Type="http://schemas.openxmlformats.org/officeDocument/2006/relationships/hyperlink" Target="https://www.funcionpublica.gov.co/eva/gestornormativo/norma.php?i=76608" TargetMode="External"/><Relationship Id="rIdawme6st78r4456xilbdem" Type="http://schemas.openxmlformats.org/officeDocument/2006/relationships/hyperlink" Target="https://www.funcionpublica.gov.co/eva/gestornormativo/norma.php?i=34488" TargetMode="External"/><Relationship Id="rIdbic7ml8sptotutndbrged" Type="http://schemas.openxmlformats.org/officeDocument/2006/relationships/hyperlink" Target="https://www.funcionpublica.gov.co/eva/gestornormativo/norma.php?i=4276" TargetMode="External"/><Relationship Id="rIdsaszuvho107kd_kvxndy9" Type="http://schemas.openxmlformats.org/officeDocument/2006/relationships/hyperlink" Target="https://www.funcionpublica.gov.co/eva/gestornormativo/norma.php?i=50583" TargetMode="External"/><Relationship Id="rId9yxemocfy1vdzurcu5nu3" Type="http://schemas.openxmlformats.org/officeDocument/2006/relationships/hyperlink" Target="https://www.funcionpublica.gov.co/eva/gestornormativo/norma.php?i=3431" TargetMode="External"/><Relationship Id="rIdquqsnzc3qh25dgc8qpe8j" Type="http://schemas.openxmlformats.org/officeDocument/2006/relationships/hyperlink" Target="https://www.funcionpublica.gov.co/eva/gestornormativo/norma.php?i=38871" TargetMode="External"/><Relationship Id="rIdqisx2g9ry9ydkgatzclgm" Type="http://schemas.openxmlformats.org/officeDocument/2006/relationships/hyperlink" Target="https://www.mincit.gov.co/ministerio/normograma-sig/procesos-misionales/facilitacion-del-comercio-y-defensa-comercial/decisiones-de-la-comunidad-andina/decision-486-de-2000.aspx" TargetMode="External"/><Relationship Id="rId_bc2u1pal6xcbjlvej5qf" Type="http://schemas.openxmlformats.org/officeDocument/2006/relationships/hyperlink" Target="https://www.funcionpublica.gov.co/eva/gestornormativo/norma.php?i=39535" TargetMode="External"/><Relationship Id="rIdhi9dqnloi3gsfv6jm3p42" Type="http://schemas.openxmlformats.org/officeDocument/2006/relationships/hyperlink" Target="https://www.funcionpublica.gov.co/eva/gestornormativo/norma.php?i=41102" TargetMode="External"/><Relationship Id="rIdym_34pe8dhwar4hcl2b2z" Type="http://schemas.openxmlformats.org/officeDocument/2006/relationships/hyperlink" Target="https://www.funcionpublica.gov.co/eva/gestornormativo/norma.php?i=199983" TargetMode="External"/><Relationship Id="rIdmwx2w4p8cedj43cmyt_78" Type="http://schemas.openxmlformats.org/officeDocument/2006/relationships/hyperlink" Target="https://www.funcionpublica.gov.co/eva/gestornormativo/norma.php?i=48366" TargetMode="External"/><Relationship Id="rId2fotjqitxozgbxagwewm0" Type="http://schemas.openxmlformats.org/officeDocument/2006/relationships/hyperlink" Target="https://sedeelectronica.sic.gov.co/publicaciones/boletin-juridico/concepto/puede-protegerse-un-secreto-empresarial-traves-del-registro-ante-la-sic" TargetMode="External"/><Relationship Id="rIdai1fd1csu-3pp3yp13mxl" Type="http://schemas.openxmlformats.org/officeDocument/2006/relationships/hyperlink" Target="https://www.sic.gov.co/sobre-la-proteccion-de-datos-personales"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2026-09-22T16:27:19.276Z</dcterms:created>
  <dcterms:modified xsi:type="dcterms:W3CDTF">2026-09-22T16:27:19.276Z</dcterms:modified>
</cp:coreProperties>
</file>

<file path=docProps/custom.xml><?xml version="1.0" encoding="utf-8"?>
<Properties xmlns="http://schemas.openxmlformats.org/officeDocument/2006/custom-properties" xmlns:vt="http://schemas.openxmlformats.org/officeDocument/2006/docPropsVTypes"/>
</file>