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7CD14" w14:textId="35DA814D" w:rsidR="00A67627" w:rsidRDefault="00A67627">
      <w:pPr>
        <w:rPr>
          <w:rFonts w:ascii="Arial" w:hAnsi="Arial"/>
          <w:b/>
          <w:sz w:val="28"/>
        </w:rPr>
      </w:pPr>
      <w:r>
        <w:rPr>
          <w:rFonts w:ascii="Arial" w:hAnsi="Arial"/>
          <w:b/>
          <w:sz w:val="28"/>
        </w:rPr>
        <w:t>ANEXOS LEGALES: INVESTIGACIÓN PARIDAD 25 UMAs</w:t>
      </w:r>
    </w:p>
    <w:p w14:paraId="6BC54EE0" w14:textId="0B6FEA0E" w:rsidR="00A67627" w:rsidRDefault="00A67627">
      <w:pPr>
        <w:rPr>
          <w:rFonts w:ascii="Arial" w:hAnsi="Arial"/>
          <w:b/>
          <w:sz w:val="28"/>
        </w:rPr>
      </w:pPr>
      <w:r>
        <w:rPr>
          <w:rFonts w:ascii="Arial" w:hAnsi="Arial"/>
          <w:b/>
          <w:sz w:val="28"/>
        </w:rPr>
        <w:t>Acuerdo ACDO.AS2.HCT.220120/064.P.DG (IMSS)</w:t>
      </w:r>
    </w:p>
    <w:p w14:paraId="51294A78" w14:textId="381AB82F" w:rsidR="00A67627" w:rsidRDefault="00A67627">
      <w:pPr>
        <w:rPr>
          <w:rFonts w:ascii="Arial" w:hAnsi="Arial"/>
        </w:rPr>
      </w:pPr>
      <w:r>
        <w:rPr>
          <w:rFonts w:ascii="Arial" w:hAnsi="Arial"/>
        </w:rPr>
        <w:t>**Fecha:** 22 de enero de 2020</w:t>
      </w:r>
    </w:p>
    <w:p w14:paraId="71CCA8EE" w14:textId="5379AADF" w:rsidR="00A67627" w:rsidRDefault="00A67627">
      <w:pPr>
        <w:rPr>
          <w:rFonts w:ascii="Arial" w:hAnsi="Arial"/>
        </w:rPr>
      </w:pPr>
      <w:r>
        <w:rPr>
          <w:rFonts w:ascii="Arial" w:hAnsi="Arial"/>
        </w:rPr>
        <w:t>**Asunto:** Ratificación del tope de 25 UMAs para la Ley 73.</w:t>
      </w:r>
    </w:p>
    <w:p w14:paraId="0B873198" w14:textId="77777777" w:rsidR="00A67627" w:rsidRDefault="00A67627">
      <w:pPr>
        <w:rPr>
          <w:rFonts w:ascii="Arial" w:hAnsi="Arial"/>
        </w:rPr>
      </w:pPr>
    </w:p>
    <w:p w14:paraId="29CC230F" w14:textId="1769B145" w:rsidR="00A67627" w:rsidRDefault="00A67627">
      <w:pPr>
        <w:rPr>
          <w:rFonts w:ascii="Arial" w:hAnsi="Arial"/>
          <w:b/>
        </w:rPr>
      </w:pPr>
      <w:r>
        <w:rPr>
          <w:rFonts w:ascii="Arial" w:hAnsi="Arial"/>
          <w:b/>
        </w:rPr>
        <w:t>Resumen Ejecutivo</w:t>
      </w:r>
    </w:p>
    <w:p w14:paraId="5A067A3D" w14:textId="36A8D659" w:rsidR="00A67627" w:rsidRDefault="00A67627">
      <w:pPr>
        <w:rPr>
          <w:rFonts w:ascii="Arial" w:hAnsi="Arial"/>
        </w:rPr>
      </w:pPr>
      <w:r>
        <w:rPr>
          <w:rFonts w:ascii="Arial" w:hAnsi="Arial"/>
        </w:rPr>
        <w:t>En este acuerdo, el H. Consejo Técnico del IMSS determina de manera oficial que, para el cálculo de las pensiones otorgadas bajo el régimen de la Ley del Seguro Social de 1973 (Generación de Transición), se debe aplicar el límite superior de cotización de **25 veces la Unidad de Medida y Actualización (UMA)**.</w:t>
      </w:r>
    </w:p>
    <w:p w14:paraId="1147BF88" w14:textId="77777777" w:rsidR="00A67627" w:rsidRDefault="00A67627">
      <w:pPr>
        <w:rPr>
          <w:rFonts w:ascii="Arial" w:hAnsi="Arial"/>
        </w:rPr>
      </w:pPr>
    </w:p>
    <w:p w14:paraId="68D392A9" w14:textId="17AE4BFE" w:rsidR="00A67627" w:rsidRDefault="00A67627">
      <w:pPr>
        <w:rPr>
          <w:rFonts w:ascii="Arial" w:hAnsi="Arial"/>
          <w:b/>
        </w:rPr>
      </w:pPr>
      <w:r>
        <w:rPr>
          <w:rFonts w:ascii="Arial" w:hAnsi="Arial"/>
          <w:b/>
        </w:rPr>
        <w:t>Puntos Clave para la Lucha del MS</w:t>
      </w:r>
    </w:p>
    <w:p w14:paraId="4059CAB2" w14:textId="4FC1F7F0" w:rsidR="00A67627" w:rsidRDefault="00A67627">
      <w:pPr>
        <w:rPr>
          <w:rFonts w:ascii="Arial" w:hAnsi="Arial"/>
        </w:rPr>
      </w:pPr>
      <w:r>
        <w:rPr>
          <w:rFonts w:ascii="Arial" w:hAnsi="Arial"/>
        </w:rPr>
        <w:t>- **Desacato Táctico:** El acuerdo se emite específicamente para contrarrestar los efectos de la jurisprudencia de la SCJN que pretendía limitar las pensiones a 10 salarios mínimos.</w:t>
      </w:r>
    </w:p>
    <w:p w14:paraId="57A38CA2" w14:textId="385717E4" w:rsidR="00A67627" w:rsidRDefault="00A67627">
      <w:pPr>
        <w:rPr>
          <w:rFonts w:ascii="Arial" w:hAnsi="Arial"/>
        </w:rPr>
      </w:pPr>
      <w:r>
        <w:rPr>
          <w:rFonts w:ascii="Arial" w:hAnsi="Arial"/>
        </w:rPr>
        <w:t>- **Voluntad Institucional:** El IMSS reconoce que aplicar el tope de 10 unidades lesionaría el esfuerzo contributivo de los trabajadores, por lo que decide mantener las 25 unidades como política administrativa interna.</w:t>
      </w:r>
    </w:p>
    <w:p w14:paraId="2596C729" w14:textId="24632CAA" w:rsidR="00A67627" w:rsidRDefault="00A67627">
      <w:pPr>
        <w:rPr>
          <w:rFonts w:ascii="Arial" w:hAnsi="Arial"/>
        </w:rPr>
      </w:pPr>
      <w:r>
        <w:rPr>
          <w:rFonts w:ascii="Arial" w:hAnsi="Arial"/>
        </w:rPr>
        <w:t>- **Precedente para el ISSSTE:** Este es el documento que el ISSSTE debe tomar como ejemplo para emitir un acuerdo similar que eleve el tope de los maestros federalizados.</w:t>
      </w:r>
    </w:p>
    <w:p w14:paraId="43ECA713" w14:textId="77777777" w:rsidR="00A67627" w:rsidRDefault="00A67627">
      <w:pPr>
        <w:rPr>
          <w:rFonts w:ascii="Arial" w:hAnsi="Arial"/>
        </w:rPr>
      </w:pPr>
    </w:p>
    <w:p w14:paraId="6B03E0F1" w14:textId="0ED96734" w:rsidR="00A67627" w:rsidRDefault="00A67627">
      <w:pPr>
        <w:rPr>
          <w:rFonts w:ascii="Arial" w:hAnsi="Arial"/>
        </w:rPr>
      </w:pPr>
      <w:r>
        <w:rPr>
          <w:rFonts w:ascii="Arial" w:hAnsi="Arial"/>
        </w:rPr>
        <w:t>---</w:t>
      </w:r>
    </w:p>
    <w:p w14:paraId="7FAA050F" w14:textId="77777777" w:rsidR="00A67627" w:rsidRDefault="00A67627">
      <w:pPr>
        <w:rPr>
          <w:rFonts w:ascii="Arial" w:hAnsi="Arial"/>
        </w:rPr>
      </w:pPr>
    </w:p>
    <w:p w14:paraId="2D9806AE" w14:textId="3C450073" w:rsidR="00A67627" w:rsidRDefault="00A67627">
      <w:pPr>
        <w:rPr>
          <w:rFonts w:ascii="Arial" w:hAnsi="Arial"/>
          <w:b/>
          <w:sz w:val="28"/>
        </w:rPr>
      </w:pPr>
      <w:r>
        <w:rPr>
          <w:rFonts w:ascii="Arial" w:hAnsi="Arial"/>
          <w:b/>
          <w:sz w:val="28"/>
        </w:rPr>
        <w:t>Acuerdo ACDO.AS2.HCT.160720/160.P.DG (IMSS)</w:t>
      </w:r>
    </w:p>
    <w:p w14:paraId="311D8BE6" w14:textId="558CB2DF" w:rsidR="00A67627" w:rsidRDefault="00A67627">
      <w:pPr>
        <w:rPr>
          <w:rFonts w:ascii="Arial" w:hAnsi="Arial"/>
        </w:rPr>
      </w:pPr>
      <w:r>
        <w:rPr>
          <w:rFonts w:ascii="Arial" w:hAnsi="Arial"/>
        </w:rPr>
        <w:t>**Fecha:** 16 de julio de 2020</w:t>
      </w:r>
    </w:p>
    <w:p w14:paraId="333AC441" w14:textId="7087C5AE" w:rsidR="00A67627" w:rsidRDefault="00A67627">
      <w:pPr>
        <w:rPr>
          <w:rFonts w:ascii="Arial" w:hAnsi="Arial"/>
        </w:rPr>
      </w:pPr>
      <w:r>
        <w:rPr>
          <w:rFonts w:ascii="Arial" w:hAnsi="Arial"/>
        </w:rPr>
        <w:t>**Asunto:** Instrucción técnica para la aplicación del tope de 25 UMAs.</w:t>
      </w:r>
    </w:p>
    <w:p w14:paraId="56061572" w14:textId="77777777" w:rsidR="00A67627" w:rsidRDefault="00A67627">
      <w:pPr>
        <w:rPr>
          <w:rFonts w:ascii="Arial" w:hAnsi="Arial"/>
        </w:rPr>
      </w:pPr>
    </w:p>
    <w:p w14:paraId="1A72B6E2" w14:textId="3DDEAFCD" w:rsidR="00A67627" w:rsidRDefault="00A67627">
      <w:pPr>
        <w:rPr>
          <w:rFonts w:ascii="Arial" w:hAnsi="Arial"/>
          <w:b/>
        </w:rPr>
      </w:pPr>
      <w:r>
        <w:rPr>
          <w:rFonts w:ascii="Arial" w:hAnsi="Arial"/>
          <w:b/>
        </w:rPr>
        <w:t>Contenido</w:t>
      </w:r>
    </w:p>
    <w:p w14:paraId="7F8BE9BF" w14:textId="35933A1A" w:rsidR="00A67627" w:rsidRDefault="00A67627">
      <w:pPr>
        <w:rPr>
          <w:rFonts w:ascii="Arial" w:hAnsi="Arial"/>
        </w:rPr>
      </w:pPr>
      <w:r>
        <w:rPr>
          <w:rFonts w:ascii="Arial" w:hAnsi="Arial"/>
        </w:rPr>
        <w:lastRenderedPageBreak/>
        <w:t>Este acuerdo complementa al 064/2020, estableciendo las reglas operativas para que todas las delegaciones del IMSS en el país apliquen de forma uniforme el tope de 25 UMAs en las resoluciones de pensión de la Ley 73.</w:t>
      </w:r>
    </w:p>
    <w:p w14:paraId="7142D99C" w14:textId="77777777" w:rsidR="00A67627" w:rsidRDefault="00A67627">
      <w:pPr>
        <w:rPr>
          <w:rFonts w:ascii="Arial" w:hAnsi="Arial"/>
        </w:rPr>
      </w:pPr>
    </w:p>
    <w:p w14:paraId="07E45757" w14:textId="5DF74CEA" w:rsidR="00A67627" w:rsidRDefault="00A67627">
      <w:pPr>
        <w:rPr>
          <w:rFonts w:ascii="Arial" w:hAnsi="Arial"/>
          <w:b/>
        </w:rPr>
      </w:pPr>
      <w:r>
        <w:rPr>
          <w:rFonts w:ascii="Arial" w:hAnsi="Arial"/>
          <w:b/>
        </w:rPr>
        <w:t>Relevancia</w:t>
      </w:r>
    </w:p>
    <w:p w14:paraId="2ABF94A8" w14:textId="12B6ADCD" w:rsidR="00A67627" w:rsidRDefault="00A67627">
      <w:pPr>
        <w:rPr>
          <w:rFonts w:ascii="Arial" w:hAnsi="Arial"/>
        </w:rPr>
      </w:pPr>
      <w:r>
        <w:rPr>
          <w:rFonts w:ascii="Arial" w:hAnsi="Arial"/>
        </w:rPr>
        <w:t>Consolida la postura del IMSS como una institución que protege los derechos adquiridos por encima de criterios judiciales restrictivos, siempre que exista un sustento en la Ley (en este caso, el artículo 28 de la LSS).</w:t>
      </w:r>
    </w:p>
    <w:p w14:paraId="0FC8FB64" w14:textId="77777777" w:rsidR="00A67627" w:rsidRDefault="00A67627">
      <w:pPr>
        <w:rPr>
          <w:rFonts w:ascii="Arial" w:hAnsi="Arial"/>
        </w:rPr>
      </w:pPr>
    </w:p>
    <w:p w14:paraId="1AC93C97" w14:textId="352621C1" w:rsidR="00A67627" w:rsidRDefault="00A67627">
      <w:pPr>
        <w:rPr>
          <w:rFonts w:ascii="Arial" w:hAnsi="Arial"/>
        </w:rPr>
      </w:pPr>
      <w:r>
        <w:rPr>
          <w:rFonts w:ascii="Arial" w:hAnsi="Arial"/>
        </w:rPr>
        <w:br w:type="page"/>
      </w:r>
    </w:p>
    <w:p w14:paraId="12E9CC19" w14:textId="2E478C89" w:rsidR="00A67627" w:rsidRDefault="00A67627">
      <w:pPr>
        <w:rPr>
          <w:rFonts w:ascii="Arial" w:hAnsi="Arial"/>
          <w:b/>
          <w:sz w:val="28"/>
        </w:rPr>
      </w:pPr>
      <w:r>
        <w:rPr>
          <w:rFonts w:ascii="Arial" w:hAnsi="Arial"/>
          <w:b/>
          <w:sz w:val="28"/>
        </w:rPr>
        <w:lastRenderedPageBreak/>
        <w:t>Acuerdo IMSS ACDO.AS2.HCT.160720/202.P.DIR</w:t>
      </w:r>
    </w:p>
    <w:p w14:paraId="0686E31B" w14:textId="7FC346EA" w:rsidR="00A67627" w:rsidRDefault="00A67627">
      <w:pPr>
        <w:rPr>
          <w:rFonts w:ascii="Arial" w:hAnsi="Arial"/>
        </w:rPr>
      </w:pPr>
      <w:r>
        <w:rPr>
          <w:rFonts w:ascii="Arial" w:hAnsi="Arial"/>
        </w:rPr>
        <w:t>**Emisor:** Consejo Técnico del IMSS</w:t>
      </w:r>
    </w:p>
    <w:p w14:paraId="53B4E4EB" w14:textId="5DBEE00A" w:rsidR="00A67627" w:rsidRDefault="00A67627">
      <w:pPr>
        <w:rPr>
          <w:rFonts w:ascii="Arial" w:hAnsi="Arial"/>
        </w:rPr>
      </w:pPr>
      <w:r>
        <w:rPr>
          <w:rFonts w:ascii="Arial" w:hAnsi="Arial"/>
        </w:rPr>
        <w:t>**Fecha:** 16 de julio de 2020</w:t>
      </w:r>
    </w:p>
    <w:p w14:paraId="39F6A408" w14:textId="77777777" w:rsidR="00A67627" w:rsidRDefault="00A67627">
      <w:pPr>
        <w:rPr>
          <w:rFonts w:ascii="Arial" w:hAnsi="Arial"/>
        </w:rPr>
      </w:pPr>
    </w:p>
    <w:p w14:paraId="786AEC37" w14:textId="38F4E8CD" w:rsidR="00A67627" w:rsidRDefault="00A67627">
      <w:pPr>
        <w:rPr>
          <w:rFonts w:ascii="Arial" w:hAnsi="Arial"/>
          <w:b/>
        </w:rPr>
      </w:pPr>
      <w:r>
        <w:rPr>
          <w:rFonts w:ascii="Arial" w:hAnsi="Arial"/>
          <w:b/>
        </w:rPr>
        <w:t>Contenido</w:t>
      </w:r>
    </w:p>
    <w:p w14:paraId="0F259804" w14:textId="77E69AA9" w:rsidR="00A67627" w:rsidRDefault="00A67627">
      <w:pPr>
        <w:rPr>
          <w:rFonts w:ascii="Arial" w:hAnsi="Arial"/>
        </w:rPr>
      </w:pPr>
      <w:r>
        <w:rPr>
          <w:rFonts w:ascii="Arial" w:hAnsi="Arial"/>
        </w:rPr>
        <w:t>El Honorable Consejo Técnico del Instituto Mexicano del Seguro Social ratifica que el límite superior de cotización de 25 salarios mínimos (ahora UMAs) previsto en el artículo 28 de la Ley del Seguro Social, es aplicable a los asegurados que se pensionen bajo el régimen de la Ley de 1973 (Generación de Transición).</w:t>
      </w:r>
    </w:p>
    <w:p w14:paraId="7308C5FB" w14:textId="77777777" w:rsidR="00A67627" w:rsidRDefault="00A67627">
      <w:pPr>
        <w:rPr>
          <w:rFonts w:ascii="Arial" w:hAnsi="Arial"/>
        </w:rPr>
      </w:pPr>
    </w:p>
    <w:p w14:paraId="43B099DA" w14:textId="690B0D12" w:rsidR="00A67627" w:rsidRDefault="00A67627">
      <w:pPr>
        <w:rPr>
          <w:rFonts w:ascii="Arial" w:hAnsi="Arial"/>
          <w:b/>
        </w:rPr>
      </w:pPr>
      <w:r>
        <w:rPr>
          <w:rFonts w:ascii="Arial" w:hAnsi="Arial"/>
          <w:b/>
        </w:rPr>
        <w:t>Punto Resolutivo Clave</w:t>
      </w:r>
    </w:p>
    <w:p w14:paraId="15E613DC" w14:textId="7CCCA435" w:rsidR="00A67627" w:rsidRDefault="00A67627">
      <w:pPr>
        <w:rPr>
          <w:rFonts w:ascii="Arial" w:hAnsi="Arial"/>
        </w:rPr>
      </w:pPr>
      <w:r>
        <w:rPr>
          <w:rFonts w:ascii="Arial" w:hAnsi="Arial"/>
        </w:rPr>
        <w:t>Se instruye a las unidades administrativas del Instituto a continuar aplicando el tope de 25 unidades para el cálculo de las pensiones de la Ley 73, independientemente de los criterios emitidos por la Suprema Corte de Justicia de la Nación que sugieran topes inferiores, en aras de salvaguardar la seguridad jurídica y los derechos adquiridos de los trabajadores.</w:t>
      </w:r>
    </w:p>
    <w:p w14:paraId="78B7087A" w14:textId="77777777" w:rsidR="00A67627" w:rsidRDefault="00A67627">
      <w:pPr>
        <w:rPr>
          <w:rFonts w:ascii="Arial" w:hAnsi="Arial"/>
        </w:rPr>
      </w:pPr>
    </w:p>
    <w:p w14:paraId="779DDAF3" w14:textId="7DE58506" w:rsidR="00A67627" w:rsidRDefault="00A67627">
      <w:pPr>
        <w:rPr>
          <w:rFonts w:ascii="Arial" w:hAnsi="Arial"/>
          <w:b/>
        </w:rPr>
      </w:pPr>
      <w:r>
        <w:rPr>
          <w:rFonts w:ascii="Arial" w:hAnsi="Arial"/>
          <w:b/>
        </w:rPr>
        <w:t>Comentario de Inteligencia (MS)</w:t>
      </w:r>
    </w:p>
    <w:p w14:paraId="0656807E" w14:textId="79D643EA" w:rsidR="00A67627" w:rsidRDefault="00A67627">
      <w:pPr>
        <w:rPr>
          <w:rFonts w:ascii="Arial" w:hAnsi="Arial"/>
        </w:rPr>
      </w:pPr>
      <w:r>
        <w:rPr>
          <w:rFonts w:ascii="Arial" w:hAnsi="Arial"/>
        </w:rPr>
        <w:t>**ESTE ES EL DOCUMENTO DE ORO.** Demuestra que un organismo de seguridad social puede decidir, por acuerdo de su Consejo, proteger a sus trabajadores por encima de una jurisprudencia de la Corte. Es el fundamento para nuestra demanda al Director del ISSSTE.</w:t>
      </w:r>
    </w:p>
    <w:p w14:paraId="7158AD17" w14:textId="77777777" w:rsidR="00A67627" w:rsidRDefault="00A67627">
      <w:pPr>
        <w:rPr>
          <w:rFonts w:ascii="Arial" w:hAnsi="Arial"/>
        </w:rPr>
      </w:pPr>
    </w:p>
    <w:p w14:paraId="6ADC1935" w14:textId="18BFFC45" w:rsidR="00A67627" w:rsidRDefault="00A67627">
      <w:pPr>
        <w:rPr>
          <w:rFonts w:ascii="Arial" w:hAnsi="Arial"/>
        </w:rPr>
      </w:pPr>
      <w:r>
        <w:rPr>
          <w:rFonts w:ascii="Arial" w:hAnsi="Arial"/>
        </w:rPr>
        <w:br w:type="page"/>
      </w:r>
    </w:p>
    <w:p w14:paraId="183D99D7" w14:textId="0E439E7B" w:rsidR="00A67627" w:rsidRDefault="00A67627">
      <w:pPr>
        <w:rPr>
          <w:rFonts w:ascii="Arial" w:hAnsi="Arial"/>
          <w:b/>
          <w:sz w:val="28"/>
        </w:rPr>
      </w:pPr>
      <w:r>
        <w:rPr>
          <w:rFonts w:ascii="Arial" w:hAnsi="Arial"/>
          <w:b/>
          <w:sz w:val="28"/>
        </w:rPr>
        <w:lastRenderedPageBreak/>
        <w:t>Acuerdo ACDO.AS2.HCT.290524/140.P.DF (Mayo 2024)</w:t>
      </w:r>
    </w:p>
    <w:p w14:paraId="16AC8D3D" w14:textId="74B32769" w:rsidR="00A67627" w:rsidRDefault="00A67627">
      <w:pPr>
        <w:rPr>
          <w:rFonts w:ascii="Arial" w:hAnsi="Arial"/>
        </w:rPr>
      </w:pPr>
      <w:r>
        <w:rPr>
          <w:rFonts w:ascii="Arial" w:hAnsi="Arial"/>
        </w:rPr>
        <w:t>**Asunto:** Reglas de Operación del Fondo de Pensiones para el Bienestar.</w:t>
      </w:r>
    </w:p>
    <w:p w14:paraId="35EFB2C4" w14:textId="77777777" w:rsidR="00A67627" w:rsidRDefault="00A67627">
      <w:pPr>
        <w:rPr>
          <w:rFonts w:ascii="Arial" w:hAnsi="Arial"/>
        </w:rPr>
      </w:pPr>
    </w:p>
    <w:p w14:paraId="5BA30CBA" w14:textId="192C23E0" w:rsidR="00A67627" w:rsidRDefault="00A67627">
      <w:pPr>
        <w:rPr>
          <w:rFonts w:ascii="Arial" w:hAnsi="Arial"/>
          <w:b/>
        </w:rPr>
      </w:pPr>
      <w:r>
        <w:rPr>
          <w:rFonts w:ascii="Arial" w:hAnsi="Arial"/>
          <w:b/>
        </w:rPr>
        <w:t>Resumen</w:t>
      </w:r>
    </w:p>
    <w:p w14:paraId="4EACB636" w14:textId="52D725C9" w:rsidR="00A67627" w:rsidRDefault="00A67627">
      <w:pPr>
        <w:rPr>
          <w:rFonts w:ascii="Arial" w:hAnsi="Arial"/>
        </w:rPr>
      </w:pPr>
      <w:r>
        <w:rPr>
          <w:rFonts w:ascii="Arial" w:hAnsi="Arial"/>
        </w:rPr>
        <w:t>Regula el complemento solidario para que las pensiones de los trabajadores puedan alcanzar el 100% de su último salario percibido (hasta un tope específico).</w:t>
      </w:r>
    </w:p>
    <w:p w14:paraId="565B5427" w14:textId="77777777" w:rsidR="00A67627" w:rsidRDefault="00A67627">
      <w:pPr>
        <w:rPr>
          <w:rFonts w:ascii="Arial" w:hAnsi="Arial"/>
        </w:rPr>
      </w:pPr>
    </w:p>
    <w:p w14:paraId="217AB42E" w14:textId="7B5F1270" w:rsidR="00A67627" w:rsidRDefault="00A67627">
      <w:pPr>
        <w:rPr>
          <w:rFonts w:ascii="Arial" w:hAnsi="Arial"/>
          <w:b/>
        </w:rPr>
      </w:pPr>
      <w:r>
        <w:rPr>
          <w:rFonts w:ascii="Arial" w:hAnsi="Arial"/>
          <w:b/>
        </w:rPr>
        <w:t>Argumento Estratégico (MS)</w:t>
      </w:r>
    </w:p>
    <w:p w14:paraId="5B18D829" w14:textId="4D37C85E" w:rsidR="00A67627" w:rsidRDefault="00A67627">
      <w:pPr>
        <w:rPr>
          <w:rFonts w:ascii="Arial" w:hAnsi="Arial"/>
        </w:rPr>
      </w:pPr>
      <w:r>
        <w:rPr>
          <w:rFonts w:ascii="Arial" w:hAnsi="Arial"/>
        </w:rPr>
        <w:t>Si el Estado tiene la capacidad financiera y legal de crear un "Fondo de Bienestar" para complementar pensiones bajas, tiene la misma capacidad de reformar el Décimo Transitorio del ISSSTE para eliminar el tope de 10 UMAs que castiga a los maestros. El recurso existe, lo que falta es la nivelación para el magisterio.</w:t>
      </w:r>
    </w:p>
    <w:p w14:paraId="7BA46E2C" w14:textId="77777777" w:rsidR="00A67627" w:rsidRDefault="00A67627">
      <w:pPr>
        <w:rPr>
          <w:rFonts w:ascii="Arial" w:hAnsi="Arial"/>
        </w:rPr>
      </w:pPr>
    </w:p>
    <w:p w14:paraId="651E18AA" w14:textId="4EA52812" w:rsidR="00A67627" w:rsidRDefault="00A67627">
      <w:pPr>
        <w:rPr>
          <w:rFonts w:ascii="Arial" w:hAnsi="Arial"/>
        </w:rPr>
      </w:pPr>
      <w:r>
        <w:rPr>
          <w:rFonts w:ascii="Arial" w:hAnsi="Arial"/>
        </w:rPr>
        <w:br w:type="page"/>
      </w:r>
    </w:p>
    <w:p w14:paraId="30FF0D1C" w14:textId="43A6CB74" w:rsidR="00A67627" w:rsidRDefault="00A67627">
      <w:pPr>
        <w:rPr>
          <w:rFonts w:ascii="Arial" w:hAnsi="Arial"/>
          <w:b/>
          <w:sz w:val="28"/>
        </w:rPr>
      </w:pPr>
      <w:r>
        <w:rPr>
          <w:rFonts w:ascii="Arial" w:hAnsi="Arial"/>
          <w:b/>
          <w:sz w:val="28"/>
        </w:rPr>
        <w:lastRenderedPageBreak/>
        <w:t>Jurisprudencia 2a./J. 164/2019 (10a.)</w:t>
      </w:r>
    </w:p>
    <w:p w14:paraId="2B1D05D4" w14:textId="13755E2D" w:rsidR="00A67627" w:rsidRDefault="00A67627">
      <w:pPr>
        <w:rPr>
          <w:rFonts w:ascii="Arial" w:hAnsi="Arial"/>
        </w:rPr>
      </w:pPr>
      <w:r>
        <w:rPr>
          <w:rFonts w:ascii="Arial" w:hAnsi="Arial"/>
        </w:rPr>
        <w:t>**Registro digital:** 2021504</w:t>
      </w:r>
    </w:p>
    <w:p w14:paraId="631970A0" w14:textId="62029306" w:rsidR="00A67627" w:rsidRDefault="00A67627">
      <w:pPr>
        <w:rPr>
          <w:rFonts w:ascii="Arial" w:hAnsi="Arial"/>
        </w:rPr>
      </w:pPr>
      <w:r>
        <w:rPr>
          <w:rFonts w:ascii="Arial" w:hAnsi="Arial"/>
        </w:rPr>
        <w:t>**Instancia:** Segunda Sala</w:t>
      </w:r>
    </w:p>
    <w:p w14:paraId="02CDA8D6" w14:textId="26D2C02F" w:rsidR="00A67627" w:rsidRDefault="00A67627">
      <w:pPr>
        <w:rPr>
          <w:rFonts w:ascii="Arial" w:hAnsi="Arial"/>
        </w:rPr>
      </w:pPr>
      <w:r>
        <w:rPr>
          <w:rFonts w:ascii="Arial" w:hAnsi="Arial"/>
        </w:rPr>
        <w:t>**Décima Época**</w:t>
      </w:r>
    </w:p>
    <w:p w14:paraId="33C623DF" w14:textId="77777777" w:rsidR="00A67627" w:rsidRDefault="00A67627">
      <w:pPr>
        <w:rPr>
          <w:rFonts w:ascii="Arial" w:hAnsi="Arial"/>
        </w:rPr>
      </w:pPr>
    </w:p>
    <w:p w14:paraId="6323BB62" w14:textId="6CD89A28" w:rsidR="00A67627" w:rsidRDefault="00A67627">
      <w:pPr>
        <w:rPr>
          <w:rFonts w:ascii="Arial" w:hAnsi="Arial"/>
          <w:b/>
        </w:rPr>
      </w:pPr>
      <w:r>
        <w:rPr>
          <w:rFonts w:ascii="Arial" w:hAnsi="Arial"/>
          <w:b/>
        </w:rPr>
        <w:t>Rubro</w:t>
      </w:r>
    </w:p>
    <w:p w14:paraId="05CBAD66" w14:textId="1ADEAE01" w:rsidR="00A67627" w:rsidRDefault="00A67627">
      <w:pPr>
        <w:rPr>
          <w:rFonts w:ascii="Arial" w:hAnsi="Arial"/>
        </w:rPr>
      </w:pPr>
      <w:r>
        <w:rPr>
          <w:rFonts w:ascii="Arial" w:hAnsi="Arial"/>
        </w:rPr>
        <w:t>RÉGIMEN TRANSITORIO DEL SISTEMA DE PENSIONES ENTRE LAS LEYES DEL SEGURO SOCIAL DEROGADA DE 1973 Y VIGENTE. EL LÍMITE SUPERIOR QUE SE DEBE APLICAR AL SALARIO PROMEDIO DE LAS 250 SEMANAS DE COTIZACIÓN QUE SIRVE DE BASE PARA CUANTIFICAR LAS PENSIONES DE LOS ASEGURADOS DEL RÉGIMEN TRANSITORIO, QUE OPTARON POR EL ESQUEMA PENSIONARIO DE LA DEROGADA LEY DE 1973.</w:t>
      </w:r>
    </w:p>
    <w:p w14:paraId="280440A9" w14:textId="77777777" w:rsidR="00A67627" w:rsidRDefault="00A67627">
      <w:pPr>
        <w:rPr>
          <w:rFonts w:ascii="Arial" w:hAnsi="Arial"/>
        </w:rPr>
      </w:pPr>
    </w:p>
    <w:p w14:paraId="6CAF1CB7" w14:textId="14ED8129" w:rsidR="00A67627" w:rsidRDefault="00A67627">
      <w:pPr>
        <w:rPr>
          <w:rFonts w:ascii="Arial" w:hAnsi="Arial"/>
          <w:b/>
        </w:rPr>
      </w:pPr>
      <w:r>
        <w:rPr>
          <w:rFonts w:ascii="Arial" w:hAnsi="Arial"/>
          <w:b/>
        </w:rPr>
        <w:t>Texto</w:t>
      </w:r>
    </w:p>
    <w:p w14:paraId="41509F7B" w14:textId="062084E9" w:rsidR="00A67627" w:rsidRDefault="00A67627">
      <w:pPr>
        <w:rPr>
          <w:rFonts w:ascii="Arial" w:hAnsi="Arial"/>
        </w:rPr>
      </w:pPr>
      <w:r>
        <w:rPr>
          <w:rFonts w:ascii="Arial" w:hAnsi="Arial"/>
        </w:rPr>
        <w:t>Para cuantificar el monto de la pensión de vejez tratándose de asegurados que se ubican en el régimen transitorio y que se acogieron al esquema de pensiones de la derogada Ley del Seguro Social vigente hasta el 30 de junio de 1997, resultan aplicables el tope máximo de diez veces el salario mínimo previsto en el artículo 33, segundo párrafo, del citado cuerpo normativo, así como la jurisprudencia de la Segunda Sala de la Suprema Corte de Justicia de la Nación 2a./J. 85/2010.</w:t>
      </w:r>
    </w:p>
    <w:p w14:paraId="5AF2B3BE" w14:textId="77777777" w:rsidR="00A67627" w:rsidRDefault="00A67627">
      <w:pPr>
        <w:rPr>
          <w:rFonts w:ascii="Arial" w:hAnsi="Arial"/>
        </w:rPr>
      </w:pPr>
    </w:p>
    <w:p w14:paraId="3F4042E3" w14:textId="1F52E2A5" w:rsidR="00A67627" w:rsidRDefault="00A67627">
      <w:pPr>
        <w:rPr>
          <w:rFonts w:ascii="Arial" w:hAnsi="Arial"/>
          <w:b/>
        </w:rPr>
      </w:pPr>
      <w:r>
        <w:rPr>
          <w:rFonts w:ascii="Arial" w:hAnsi="Arial"/>
          <w:b/>
        </w:rPr>
        <w:t>Comentario de Inteligencia (MS)</w:t>
      </w:r>
    </w:p>
    <w:p w14:paraId="71B90D06" w14:textId="1B726174" w:rsidR="00A67627" w:rsidRDefault="00A67627">
      <w:pPr>
        <w:rPr>
          <w:rFonts w:ascii="Arial" w:hAnsi="Arial"/>
        </w:rPr>
      </w:pPr>
      <w:r>
        <w:rPr>
          <w:rFonts w:ascii="Arial" w:hAnsi="Arial"/>
        </w:rPr>
        <w:t>Esta es la jurisprudencia que el IMSS **decidió NO aplicar de forma generalizada**. Aunque la Corte dijo que el tope debía ser de 10, el IMSS emitió un acuerdo interno para respetar las 25 UMAs. Es el precedente de "Voluntad Política" que necesitamos para el ISSSTE.</w:t>
      </w:r>
    </w:p>
    <w:p w14:paraId="48EBF0F5" w14:textId="77777777" w:rsidR="00A67627" w:rsidRDefault="00A67627">
      <w:pPr>
        <w:rPr>
          <w:rFonts w:ascii="Arial" w:hAnsi="Arial"/>
        </w:rPr>
      </w:pPr>
    </w:p>
    <w:p w14:paraId="5C1A2C51" w14:textId="7323022E" w:rsidR="00A67627" w:rsidRDefault="00A67627">
      <w:pPr>
        <w:rPr>
          <w:rFonts w:ascii="Arial" w:hAnsi="Arial"/>
        </w:rPr>
      </w:pPr>
      <w:r>
        <w:rPr>
          <w:rFonts w:ascii="Arial" w:hAnsi="Arial"/>
        </w:rPr>
        <w:br w:type="page"/>
      </w:r>
    </w:p>
    <w:p w14:paraId="211787FD" w14:textId="1EC8B055" w:rsidR="00A67627" w:rsidRDefault="00A67627">
      <w:pPr>
        <w:rPr>
          <w:rFonts w:ascii="Arial" w:hAnsi="Arial"/>
          <w:b/>
          <w:sz w:val="28"/>
        </w:rPr>
      </w:pPr>
      <w:r>
        <w:rPr>
          <w:rFonts w:ascii="Arial" w:hAnsi="Arial"/>
          <w:b/>
          <w:sz w:val="28"/>
        </w:rPr>
        <w:lastRenderedPageBreak/>
        <w:t>Jurisprudencia 2a./J. 30/2021 (10a.)</w:t>
      </w:r>
    </w:p>
    <w:p w14:paraId="5FB6B203" w14:textId="7ED81306" w:rsidR="00A67627" w:rsidRDefault="00A67627">
      <w:pPr>
        <w:rPr>
          <w:rFonts w:ascii="Arial" w:hAnsi="Arial"/>
        </w:rPr>
      </w:pPr>
      <w:r>
        <w:rPr>
          <w:rFonts w:ascii="Arial" w:hAnsi="Arial"/>
        </w:rPr>
        <w:t>**Registro digital:** 2023299</w:t>
      </w:r>
    </w:p>
    <w:p w14:paraId="496A40D0" w14:textId="0C455A29" w:rsidR="00A67627" w:rsidRDefault="00A67627">
      <w:pPr>
        <w:rPr>
          <w:rFonts w:ascii="Arial" w:hAnsi="Arial"/>
        </w:rPr>
      </w:pPr>
      <w:r>
        <w:rPr>
          <w:rFonts w:ascii="Arial" w:hAnsi="Arial"/>
        </w:rPr>
        <w:t>**Instancia:** Segunda Sala</w:t>
      </w:r>
    </w:p>
    <w:p w14:paraId="397EA976" w14:textId="4B37D6C7" w:rsidR="00A67627" w:rsidRDefault="00A67627">
      <w:pPr>
        <w:rPr>
          <w:rFonts w:ascii="Arial" w:hAnsi="Arial"/>
        </w:rPr>
      </w:pPr>
      <w:r>
        <w:rPr>
          <w:rFonts w:ascii="Arial" w:hAnsi="Arial"/>
        </w:rPr>
        <w:t>**Décima Época**</w:t>
      </w:r>
    </w:p>
    <w:p w14:paraId="421D3E72" w14:textId="77777777" w:rsidR="00A67627" w:rsidRDefault="00A67627">
      <w:pPr>
        <w:rPr>
          <w:rFonts w:ascii="Arial" w:hAnsi="Arial"/>
        </w:rPr>
      </w:pPr>
    </w:p>
    <w:p w14:paraId="267FC38E" w14:textId="0E7DF847" w:rsidR="00A67627" w:rsidRDefault="00A67627">
      <w:pPr>
        <w:rPr>
          <w:rFonts w:ascii="Arial" w:hAnsi="Arial"/>
          <w:b/>
        </w:rPr>
      </w:pPr>
      <w:r>
        <w:rPr>
          <w:rFonts w:ascii="Arial" w:hAnsi="Arial"/>
          <w:b/>
        </w:rPr>
        <w:t>Rubro</w:t>
      </w:r>
    </w:p>
    <w:p w14:paraId="54EB3FAC" w14:textId="12FE4BF4" w:rsidR="00A67627" w:rsidRDefault="00A67627">
      <w:pPr>
        <w:rPr>
          <w:rFonts w:ascii="Arial" w:hAnsi="Arial"/>
        </w:rPr>
      </w:pPr>
      <w:r>
        <w:rPr>
          <w:rFonts w:ascii="Arial" w:hAnsi="Arial"/>
        </w:rPr>
        <w:t>PENSIÓN JUBILATORIA. EL MONTO MÁXIMO PREVISTO EN LA LEY DEL INSTITUTO DE SEGURIDAD Y SERVICIOS SOCIALES DE LOS TRABAJADORES DEL ESTADO ABROGADA Y EN EL RÉGIMEN DEL ARTÍCULO DÉCIMO TRANSITORIO DE LA LEY DEL ISSSTE VIGENTE, DEBE CUANTIFICARSE CON BASE EN EL VALOR DE LA UNIDAD DE MEDIDA Y ACTUALIZACIÓN (UMA) Y NO EN EL SALARIO MÍNIMO.</w:t>
      </w:r>
    </w:p>
    <w:p w14:paraId="66705A94" w14:textId="77777777" w:rsidR="00A67627" w:rsidRDefault="00A67627">
      <w:pPr>
        <w:rPr>
          <w:rFonts w:ascii="Arial" w:hAnsi="Arial"/>
        </w:rPr>
      </w:pPr>
    </w:p>
    <w:p w14:paraId="350B2D61" w14:textId="08D8C107" w:rsidR="00A67627" w:rsidRDefault="00A67627">
      <w:pPr>
        <w:rPr>
          <w:rFonts w:ascii="Arial" w:hAnsi="Arial"/>
          <w:b/>
        </w:rPr>
      </w:pPr>
      <w:r>
        <w:rPr>
          <w:rFonts w:ascii="Arial" w:hAnsi="Arial"/>
          <w:b/>
        </w:rPr>
        <w:t>Texto</w:t>
      </w:r>
    </w:p>
    <w:p w14:paraId="6FEE495C" w14:textId="2EEC4D54" w:rsidR="00A67627" w:rsidRDefault="00A67627">
      <w:pPr>
        <w:rPr>
          <w:rFonts w:ascii="Arial" w:hAnsi="Arial"/>
        </w:rPr>
      </w:pPr>
      <w:r>
        <w:rPr>
          <w:rFonts w:ascii="Arial" w:hAnsi="Arial"/>
        </w:rPr>
        <w:t>La Segunda Sala de la Suprema Corte de Justicia de la Nación establece que la Unidad de Medida y Actualización (UMA) es el índice, unidad de medida o referencia para determinar la cuantía del pago de las obligaciones y supuestos previstos en las leyes federales, de las entidades federativas y de la Ciudad de México, así como en las disposiciones jurídicas que emanen de todas las anteriores. En consecuencia, el tope máximo de la pensión jubilatoria establecido en la Ley del ISSSTE debe calcularse en UMAs.</w:t>
      </w:r>
    </w:p>
    <w:p w14:paraId="751DEA7C" w14:textId="77777777" w:rsidR="00A67627" w:rsidRDefault="00A67627">
      <w:pPr>
        <w:rPr>
          <w:rFonts w:ascii="Arial" w:hAnsi="Arial"/>
        </w:rPr>
      </w:pPr>
    </w:p>
    <w:p w14:paraId="42F845EF" w14:textId="499FC4E1" w:rsidR="00A67627" w:rsidRDefault="00A67627">
      <w:pPr>
        <w:rPr>
          <w:rFonts w:ascii="Arial" w:hAnsi="Arial"/>
          <w:b/>
        </w:rPr>
      </w:pPr>
      <w:r>
        <w:rPr>
          <w:rFonts w:ascii="Arial" w:hAnsi="Arial"/>
          <w:b/>
        </w:rPr>
        <w:t>Comentario de Inteligencia (MS)</w:t>
      </w:r>
    </w:p>
    <w:p w14:paraId="637647E6" w14:textId="69C564DF" w:rsidR="00A67627" w:rsidRDefault="00A67627">
      <w:pPr>
        <w:rPr>
          <w:rFonts w:ascii="Arial" w:hAnsi="Arial"/>
        </w:rPr>
      </w:pPr>
      <w:r>
        <w:rPr>
          <w:rFonts w:ascii="Arial" w:hAnsi="Arial"/>
        </w:rPr>
        <w:t>Este es el "candado" judicial que nos afecta directamente. Es la jurisprudencia que dice que el tope de 10 es en UMAs y no en Salarios Mínimos. Nuestra estrategia es atacar la desigualdad que esto genera frente a los jubilados del IMSS que gozan de 25 UMAs.</w:t>
      </w:r>
    </w:p>
    <w:p w14:paraId="3F30CED9" w14:textId="77777777" w:rsidR="00A67627" w:rsidRDefault="00A67627">
      <w:pPr>
        <w:rPr>
          <w:rFonts w:ascii="Arial" w:hAnsi="Arial"/>
        </w:rPr>
      </w:pPr>
    </w:p>
    <w:p w14:paraId="0A93A37A" w14:textId="5CF32528" w:rsidR="00A67627" w:rsidRDefault="00A67627">
      <w:pPr>
        <w:rPr>
          <w:rFonts w:ascii="Arial" w:hAnsi="Arial"/>
        </w:rPr>
      </w:pPr>
      <w:r>
        <w:rPr>
          <w:rFonts w:ascii="Arial" w:hAnsi="Arial"/>
        </w:rPr>
        <w:br w:type="page"/>
      </w:r>
    </w:p>
    <w:p w14:paraId="76E56551" w14:textId="77777777" w:rsidR="00A67627" w:rsidRPr="00A67627" w:rsidRDefault="00A67627">
      <w:pPr>
        <w:rPr>
          <w:rFonts w:ascii="Arial" w:hAnsi="Arial"/>
        </w:rPr>
      </w:pPr>
    </w:p>
    <w:sectPr w:rsidR="00A67627" w:rsidRPr="00A676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27"/>
    <w:rsid w:val="006F36D1"/>
    <w:rsid w:val="00A676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9D900"/>
  <w15:chartTrackingRefBased/>
  <w15:docId w15:val="{79EAD8A2-847F-497B-B7ED-475DA544A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7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7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76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76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76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76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76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76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76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76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76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76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76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76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76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76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76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7627"/>
    <w:rPr>
      <w:rFonts w:eastAsiaTheme="majorEastAsia" w:cstheme="majorBidi"/>
      <w:color w:val="272727" w:themeColor="text1" w:themeTint="D8"/>
    </w:rPr>
  </w:style>
  <w:style w:type="paragraph" w:styleId="Ttulo">
    <w:name w:val="Title"/>
    <w:basedOn w:val="Normal"/>
    <w:next w:val="Normal"/>
    <w:link w:val="TtuloCar"/>
    <w:uiPriority w:val="10"/>
    <w:qFormat/>
    <w:rsid w:val="00A67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76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76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76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7627"/>
    <w:pPr>
      <w:spacing w:before="160"/>
      <w:jc w:val="center"/>
    </w:pPr>
    <w:rPr>
      <w:i/>
      <w:iCs/>
      <w:color w:val="404040" w:themeColor="text1" w:themeTint="BF"/>
    </w:rPr>
  </w:style>
  <w:style w:type="character" w:customStyle="1" w:styleId="CitaCar">
    <w:name w:val="Cita Car"/>
    <w:basedOn w:val="Fuentedeprrafopredeter"/>
    <w:link w:val="Cita"/>
    <w:uiPriority w:val="29"/>
    <w:rsid w:val="00A67627"/>
    <w:rPr>
      <w:i/>
      <w:iCs/>
      <w:color w:val="404040" w:themeColor="text1" w:themeTint="BF"/>
    </w:rPr>
  </w:style>
  <w:style w:type="paragraph" w:styleId="Prrafodelista">
    <w:name w:val="List Paragraph"/>
    <w:basedOn w:val="Normal"/>
    <w:uiPriority w:val="34"/>
    <w:qFormat/>
    <w:rsid w:val="00A67627"/>
    <w:pPr>
      <w:ind w:left="720"/>
      <w:contextualSpacing/>
    </w:pPr>
  </w:style>
  <w:style w:type="character" w:styleId="nfasisintenso">
    <w:name w:val="Intense Emphasis"/>
    <w:basedOn w:val="Fuentedeprrafopredeter"/>
    <w:uiPriority w:val="21"/>
    <w:qFormat/>
    <w:rsid w:val="00A67627"/>
    <w:rPr>
      <w:i/>
      <w:iCs/>
      <w:color w:val="0F4761" w:themeColor="accent1" w:themeShade="BF"/>
    </w:rPr>
  </w:style>
  <w:style w:type="paragraph" w:styleId="Citadestacada">
    <w:name w:val="Intense Quote"/>
    <w:basedOn w:val="Normal"/>
    <w:next w:val="Normal"/>
    <w:link w:val="CitadestacadaCar"/>
    <w:uiPriority w:val="30"/>
    <w:qFormat/>
    <w:rsid w:val="00A67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7627"/>
    <w:rPr>
      <w:i/>
      <w:iCs/>
      <w:color w:val="0F4761" w:themeColor="accent1" w:themeShade="BF"/>
    </w:rPr>
  </w:style>
  <w:style w:type="character" w:styleId="Referenciaintensa">
    <w:name w:val="Intense Reference"/>
    <w:basedOn w:val="Fuentedeprrafopredeter"/>
    <w:uiPriority w:val="32"/>
    <w:qFormat/>
    <w:rsid w:val="00A676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927</Words>
  <Characters>5104</Characters>
  <Application>Microsoft Office Word</Application>
  <DocSecurity>0</DocSecurity>
  <Lines>42</Lines>
  <Paragraphs>12</Paragraphs>
  <ScaleCrop>false</ScaleCrop>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ALFONSO GALVEZ MARTINEZ</dc:creator>
  <cp:keywords/>
  <dc:description/>
  <cp:lastModifiedBy>JOSE  ALFONSO GALVEZ MARTINEZ</cp:lastModifiedBy>
  <cp:revision>1</cp:revision>
  <dcterms:created xsi:type="dcterms:W3CDTF">2026-05-04T17:33:00Z</dcterms:created>
  <dcterms:modified xsi:type="dcterms:W3CDTF">2026-05-04T17:34:00Z</dcterms:modified>
</cp:coreProperties>
</file>