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D7E0" w14:textId="77777777" w:rsidR="003F4E9F" w:rsidRDefault="003F4E9F">
      <w:pPr>
        <w:pStyle w:val="Ttulo1"/>
        <w:rPr>
          <w:rFonts w:eastAsia="Times New Roman"/>
        </w:rPr>
      </w:pPr>
      <w:r>
        <w:rPr>
          <w:rFonts w:eastAsia="Times New Roman"/>
        </w:rPr>
        <w:t>Carpeta Estratégica: Equiparación a 25 UMAs (ISSSTE Federal)</w:t>
      </w:r>
    </w:p>
    <w:p w14:paraId="326B8E02" w14:textId="77777777" w:rsidR="003F4E9F" w:rsidRDefault="003F4E9F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Elaborado para:</w:t>
      </w:r>
      <w:r>
        <w:rPr>
          <w:rFonts w:ascii="Arial" w:hAnsi="Arial" w:cs="Arial"/>
        </w:rPr>
        <w:t xml:space="preserve"> Coordinaciones del Magisterio Sonorense (Nogales, Guaymas-Empalme).</w:t>
      </w:r>
      <w:r>
        <w:rPr>
          <w:rFonts w:ascii="Arial" w:hAnsi="Arial" w:cs="Arial"/>
        </w:rPr>
        <w:br/>
      </w:r>
      <w:r>
        <w:rPr>
          <w:rStyle w:val="Fuerte"/>
          <w:rFonts w:ascii="Arial" w:hAnsi="Arial" w:cs="Arial"/>
        </w:rPr>
        <w:t>Objetivo: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Establecer la ruta técnica, jurídica y política para elevar el tope de las pensiones del ISSSTE (Décimo Transitorio) de 10 a 25 UMAs, utilizando como punta de lanza el precedente establecido por el IMSS.</w:t>
      </w:r>
    </w:p>
    <w:p w14:paraId="6333B033" w14:textId="77777777" w:rsidR="003F4E9F" w:rsidRDefault="003F4E9F">
      <w:pPr>
        <w:pStyle w:val="Ttulo2"/>
        <w:rPr>
          <w:rFonts w:eastAsia="Times New Roman"/>
        </w:rPr>
      </w:pPr>
      <w:r>
        <w:rPr>
          <w:rFonts w:eastAsia="Times New Roman"/>
        </w:rPr>
        <w:t>1. El Diagnóstico: La Injusticia Estructural</w:t>
      </w:r>
    </w:p>
    <w:p w14:paraId="50FB8DB0" w14:textId="77777777" w:rsidR="003F4E9F" w:rsidRDefault="003F4E9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Actualmente, el sistema de seguridad social en México castiga de forma desproporcionada a los trabajadores de la educación y servidores públicos federales en comparación con el sector privado, operando bajo un esquema discriminatorio:</w:t>
      </w:r>
    </w:p>
    <w:p w14:paraId="5D7767C3" w14:textId="77777777" w:rsidR="003F4E9F" w:rsidRDefault="003F4E9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Sector Privado (IMSS):</w:t>
      </w:r>
      <w:r>
        <w:rPr>
          <w:rFonts w:ascii="Arial" w:eastAsia="Times New Roman" w:hAnsi="Arial" w:cs="Arial"/>
        </w:rPr>
        <w:t xml:space="preserve"> Goza de un tope de cotización y pensión máxima referenciada en </w:t>
      </w:r>
      <w:r>
        <w:rPr>
          <w:rStyle w:val="Fuerte"/>
          <w:rFonts w:ascii="Arial" w:eastAsia="Times New Roman" w:hAnsi="Arial" w:cs="Arial"/>
        </w:rPr>
        <w:t>25 UMAs</w:t>
      </w:r>
      <w:r>
        <w:rPr>
          <w:rFonts w:ascii="Arial" w:eastAsia="Times New Roman" w:hAnsi="Arial" w:cs="Arial"/>
        </w:rPr>
        <w:t>.</w:t>
      </w:r>
    </w:p>
    <w:p w14:paraId="48D480FA" w14:textId="77777777" w:rsidR="003F4E9F" w:rsidRDefault="003F4E9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Sector Público (ISSSTE - Décimo Transitorio):</w:t>
      </w:r>
      <w:r>
        <w:rPr>
          <w:rFonts w:ascii="Arial" w:eastAsia="Times New Roman" w:hAnsi="Arial" w:cs="Arial"/>
        </w:rPr>
        <w:t xml:space="preserve"> Está estrangulado por un tope de </w:t>
      </w:r>
      <w:r>
        <w:rPr>
          <w:rStyle w:val="Fuerte"/>
          <w:rFonts w:ascii="Arial" w:eastAsia="Times New Roman" w:hAnsi="Arial" w:cs="Arial"/>
        </w:rPr>
        <w:t>10 UMAs</w:t>
      </w:r>
      <w:r>
        <w:rPr>
          <w:rFonts w:ascii="Arial" w:eastAsia="Times New Roman" w:hAnsi="Arial" w:cs="Arial"/>
        </w:rPr>
        <w:t xml:space="preserve"> (aprox. $35,193 mensuales en 2026), sin importar que su sueldo en activo haya sido superior.</w:t>
      </w:r>
    </w:p>
    <w:p w14:paraId="1B64C832" w14:textId="77777777" w:rsidR="003F4E9F" w:rsidRDefault="003F4E9F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NOTA CRÍTICA:</w:t>
      </w:r>
      <w:r>
        <w:rPr>
          <w:rFonts w:ascii="Arial" w:hAnsi="Arial" w:cs="Arial"/>
        </w:rPr>
        <w:t xml:space="preserve"> Esta discrepancia viola el principio de igualdad y no discriminación (Artículo 1º Constitucional). No puede haber ciudadanos de primera (IMSS) y de segunda (ISSSTE).</w:t>
      </w:r>
    </w:p>
    <w:p w14:paraId="0460E3AF" w14:textId="77777777" w:rsidR="003F4E9F" w:rsidRDefault="003F4E9F">
      <w:pPr>
        <w:pStyle w:val="Ttulo2"/>
        <w:rPr>
          <w:rFonts w:eastAsia="Times New Roman"/>
        </w:rPr>
      </w:pPr>
      <w:r>
        <w:rPr>
          <w:rFonts w:eastAsia="Times New Roman"/>
        </w:rPr>
        <w:t>2. El Precedente IMSS: ¿Cómo lograron retener las 25 UMAs?</w:t>
      </w:r>
    </w:p>
    <w:p w14:paraId="140B68EC" w14:textId="77777777" w:rsidR="003F4E9F" w:rsidRDefault="003F4E9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Es un mito que la Suprema Corte "le regaló" las 25 UMAs al IMSS. La realidad es que el IMSS las retuvo mediante una </w:t>
      </w:r>
      <w:r>
        <w:rPr>
          <w:rStyle w:val="Fuerte"/>
          <w:rFonts w:ascii="Arial" w:hAnsi="Arial" w:cs="Arial"/>
        </w:rPr>
        <w:t>decisión política y administrativa</w:t>
      </w:r>
      <w:r>
        <w:rPr>
          <w:rFonts w:ascii="Arial" w:hAnsi="Arial" w:cs="Arial"/>
        </w:rPr>
        <w:t xml:space="preserve"> frente a fallos adversos.</w:t>
      </w:r>
    </w:p>
    <w:p w14:paraId="14C4EFFE" w14:textId="77777777" w:rsidR="003F4E9F" w:rsidRDefault="003F4E9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El Fallo de la Corte:</w:t>
      </w:r>
      <w:r>
        <w:rPr>
          <w:rFonts w:ascii="Arial" w:eastAsia="Times New Roman" w:hAnsi="Arial" w:cs="Arial"/>
        </w:rPr>
        <w:t xml:space="preserve"> En 2020, la SCJN dictaminó que la "Generación de Transición" del IMSS debía toparse a </w:t>
      </w:r>
      <w:r>
        <w:rPr>
          <w:rStyle w:val="Fuerte"/>
          <w:rFonts w:ascii="Arial" w:eastAsia="Times New Roman" w:hAnsi="Arial" w:cs="Arial"/>
        </w:rPr>
        <w:t>10 salarios mínimos</w:t>
      </w:r>
      <w:r>
        <w:rPr>
          <w:rFonts w:ascii="Arial" w:eastAsia="Times New Roman" w:hAnsi="Arial" w:cs="Arial"/>
        </w:rPr>
        <w:t>.</w:t>
      </w:r>
    </w:p>
    <w:p w14:paraId="623796F9" w14:textId="77777777" w:rsidR="003F4E9F" w:rsidRDefault="003F4E9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La Maniobra del IMSS:</w:t>
      </w:r>
      <w:r>
        <w:rPr>
          <w:rFonts w:ascii="Arial" w:eastAsia="Times New Roman" w:hAnsi="Arial" w:cs="Arial"/>
        </w:rPr>
        <w:t xml:space="preserve"> Ante el golpe, el Consejo Técnico del IMSS y Zoé Robledo decidieron </w:t>
      </w:r>
      <w:r>
        <w:rPr>
          <w:rStyle w:val="Fuerte"/>
          <w:rFonts w:ascii="Arial" w:eastAsia="Times New Roman" w:hAnsi="Arial" w:cs="Arial"/>
        </w:rPr>
        <w:t>no aplicar de forma generalizada el criterio de la SCJN</w:t>
      </w:r>
      <w:r>
        <w:rPr>
          <w:rFonts w:ascii="Arial" w:eastAsia="Times New Roman" w:hAnsi="Arial" w:cs="Arial"/>
        </w:rPr>
        <w:t xml:space="preserve">. Argumentaron que como política interna, el Instituto respetaría el esfuerzo contributivo de quienes cotizaron sobre </w:t>
      </w:r>
      <w:r>
        <w:rPr>
          <w:rStyle w:val="Fuerte"/>
          <w:rFonts w:ascii="Arial" w:eastAsia="Times New Roman" w:hAnsi="Arial" w:cs="Arial"/>
        </w:rPr>
        <w:t>25 UMAs</w:t>
      </w:r>
      <w:r>
        <w:rPr>
          <w:rFonts w:ascii="Arial" w:eastAsia="Times New Roman" w:hAnsi="Arial" w:cs="Arial"/>
        </w:rPr>
        <w:t>.</w:t>
      </w:r>
    </w:p>
    <w:p w14:paraId="09A7B50A" w14:textId="77777777" w:rsidR="003F4E9F" w:rsidRDefault="003F4E9F">
      <w:pPr>
        <w:pStyle w:val="Ttulo2"/>
        <w:rPr>
          <w:rFonts w:eastAsia="Times New Roman"/>
        </w:rPr>
      </w:pPr>
      <w:r>
        <w:rPr>
          <w:rFonts w:eastAsia="Times New Roman"/>
        </w:rPr>
        <w:t>3. El Nudo Legal del ISSSTE (Décimo Transitorio)</w:t>
      </w:r>
    </w:p>
    <w:p w14:paraId="01D8E74D" w14:textId="77777777" w:rsidR="003F4E9F" w:rsidRDefault="003F4E9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El obstáculo principal para los maestros federalizados radica en que el tope de 10 UMAs no es solo un criterio interpretativo, sino que </w:t>
      </w:r>
      <w:r>
        <w:rPr>
          <w:rStyle w:val="Fuerte"/>
          <w:rFonts w:ascii="Arial" w:hAnsi="Arial" w:cs="Arial"/>
        </w:rPr>
        <w:t>está escrito explícitamente en la Ley del ISSSTE (Artículo Décimo Transitorio)</w:t>
      </w:r>
      <w:r>
        <w:rPr>
          <w:rFonts w:ascii="Arial" w:hAnsi="Arial" w:cs="Arial"/>
        </w:rPr>
        <w:t xml:space="preserve"> y fue ratificado por la SCJN en febrero de 2021.</w:t>
      </w:r>
    </w:p>
    <w:p w14:paraId="792E1DF5" w14:textId="77777777" w:rsidR="003F4E9F" w:rsidRDefault="003F4E9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lastRenderedPageBreak/>
        <w:t>El Candado:</w:t>
      </w:r>
      <w:r>
        <w:rPr>
          <w:rFonts w:ascii="Arial" w:eastAsia="Times New Roman" w:hAnsi="Arial" w:cs="Arial"/>
        </w:rPr>
        <w:t xml:space="preserve"> La Corte dictaminó que el tope máximo debe calcularse forzosamente en UMAs y no debe rebasar las 10 unidades.</w:t>
      </w:r>
    </w:p>
    <w:p w14:paraId="7940278E" w14:textId="77777777" w:rsidR="003F4E9F" w:rsidRDefault="003F4E9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La Diferencia:</w:t>
      </w:r>
      <w:r>
        <w:rPr>
          <w:rFonts w:ascii="Arial" w:eastAsia="Times New Roman" w:hAnsi="Arial" w:cs="Arial"/>
        </w:rPr>
        <w:t xml:space="preserve"> Mientras el IMSS tiene el argumento de las 25 UMAs sustentado en su Ley de 1997, el ISSSTE carece de esa redacción protectora.</w:t>
      </w:r>
    </w:p>
    <w:p w14:paraId="2D3A648E" w14:textId="77777777" w:rsidR="003F4E9F" w:rsidRDefault="003F4E9F">
      <w:pPr>
        <w:pStyle w:val="Ttulo2"/>
        <w:rPr>
          <w:rFonts w:eastAsia="Times New Roman"/>
        </w:rPr>
      </w:pPr>
      <w:r>
        <w:rPr>
          <w:rFonts w:eastAsia="Times New Roman"/>
        </w:rPr>
        <w:t>4. La Estrategia del Magisterio: La Ruta hacia las 25 UMAs</w:t>
      </w:r>
    </w:p>
    <w:p w14:paraId="343059B4" w14:textId="77777777" w:rsidR="003F4E9F" w:rsidRDefault="003F4E9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Dado que el ISSSTE tiene el tope incrustado en la ley, la ruta no puede ser solo administrativa como en el IMSS. Se requiere un ataque combinado:</w:t>
      </w:r>
    </w:p>
    <w:p w14:paraId="3DEE181F" w14:textId="77777777" w:rsidR="003F4E9F" w:rsidRDefault="003F4E9F">
      <w:pPr>
        <w:pStyle w:val="Ttulo3"/>
        <w:rPr>
          <w:rFonts w:eastAsia="Times New Roman"/>
        </w:rPr>
      </w:pPr>
      <w:r>
        <w:rPr>
          <w:rFonts w:eastAsia="Times New Roman"/>
        </w:rPr>
        <w:t>A. Vía Legislativa (Presión en San Lázaro y Senado)</w:t>
      </w:r>
    </w:p>
    <w:p w14:paraId="72202CE8" w14:textId="77777777" w:rsidR="003F4E9F" w:rsidRDefault="003F4E9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La solución de fondo es la </w:t>
      </w:r>
      <w:r>
        <w:rPr>
          <w:rStyle w:val="Fuerte"/>
          <w:rFonts w:ascii="Arial" w:hAnsi="Arial" w:cs="Arial"/>
        </w:rPr>
        <w:t>reforma al Artículo Décimo Transitorio</w:t>
      </w:r>
      <w:r>
        <w:rPr>
          <w:rFonts w:ascii="Arial" w:hAnsi="Arial" w:cs="Arial"/>
        </w:rPr>
        <w:t>.</w:t>
      </w:r>
    </w:p>
    <w:p w14:paraId="5767C3B4" w14:textId="77777777" w:rsidR="003F4E9F" w:rsidRDefault="003F4E9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Acción:</w:t>
      </w:r>
      <w:r>
        <w:rPr>
          <w:rFonts w:ascii="Arial" w:eastAsia="Times New Roman" w:hAnsi="Arial" w:cs="Arial"/>
        </w:rPr>
        <w:t xml:space="preserve"> Exigir que la redacción se homologue con el artículo 28 de la Ley del Seguro Social (LSS-1997), elevando el techo a 25 UMAs.</w:t>
      </w:r>
    </w:p>
    <w:p w14:paraId="42CBC14F" w14:textId="77777777" w:rsidR="003F4E9F" w:rsidRDefault="003F4E9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Argumento de Peso:</w:t>
      </w:r>
      <w:r>
        <w:rPr>
          <w:rFonts w:ascii="Arial" w:eastAsia="Times New Roman" w:hAnsi="Arial" w:cs="Arial"/>
        </w:rPr>
        <w:t xml:space="preserve"> Utilizar los estudios actuariales del MS para demostrar que retener a los maestros con topes de 10 UMAs fomenta la fuga de talentos, devalúa la profesión docente y viola la progresividad de los derechos humanos.</w:t>
      </w:r>
    </w:p>
    <w:p w14:paraId="1DC3C347" w14:textId="77777777" w:rsidR="003F4E9F" w:rsidRDefault="003F4E9F">
      <w:pPr>
        <w:pStyle w:val="Ttulo3"/>
        <w:rPr>
          <w:rFonts w:eastAsia="Times New Roman"/>
        </w:rPr>
      </w:pPr>
      <w:r>
        <w:rPr>
          <w:rFonts w:eastAsia="Times New Roman"/>
        </w:rPr>
        <w:t>B. Vía Jurídica y de Amparo (Litigio Estratégico)</w:t>
      </w:r>
    </w:p>
    <w:p w14:paraId="7A272A85" w14:textId="77777777" w:rsidR="003F4E9F" w:rsidRDefault="003F4E9F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Acción:</w:t>
      </w:r>
      <w:r>
        <w:rPr>
          <w:rFonts w:ascii="Arial" w:eastAsia="Times New Roman" w:hAnsi="Arial" w:cs="Arial"/>
        </w:rPr>
        <w:t xml:space="preserve"> Promover juicios de amparo bajo el concepto de </w:t>
      </w:r>
      <w:r>
        <w:rPr>
          <w:rStyle w:val="Fuerte"/>
          <w:rFonts w:ascii="Arial" w:eastAsia="Times New Roman" w:hAnsi="Arial" w:cs="Arial"/>
        </w:rPr>
        <w:t>Violación a la Igualdad y al Principio Pro Persona</w:t>
      </w:r>
      <w:r>
        <w:rPr>
          <w:rFonts w:ascii="Arial" w:eastAsia="Times New Roman" w:hAnsi="Arial" w:cs="Arial"/>
        </w:rPr>
        <w:t>.</w:t>
      </w:r>
    </w:p>
    <w:p w14:paraId="4B972534" w14:textId="77777777" w:rsidR="003F4E9F" w:rsidRDefault="003F4E9F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Fuerte"/>
          <w:rFonts w:ascii="Arial" w:eastAsia="Times New Roman" w:hAnsi="Arial" w:cs="Arial"/>
        </w:rPr>
        <w:t>Argumento: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Si el Estado Mexicano reconoce que topar a 10 UMAs en el IMSS es injusto, el mismo Estado debe aplicar el mismo criterio protector en el ISSSTE.</w:t>
      </w:r>
    </w:p>
    <w:p w14:paraId="007B2385" w14:textId="77777777" w:rsidR="003F4E9F" w:rsidRDefault="003F4E9F">
      <w:pPr>
        <w:pStyle w:val="Ttulo3"/>
        <w:rPr>
          <w:rFonts w:eastAsia="Times New Roman"/>
        </w:rPr>
      </w:pPr>
      <w:r>
        <w:rPr>
          <w:rFonts w:eastAsia="Times New Roman"/>
        </w:rPr>
        <w:t>C. Vía Política (Movilización y Negociación Sindical)</w:t>
      </w:r>
    </w:p>
    <w:p w14:paraId="0F0E60D0" w14:textId="77777777" w:rsidR="003F4E9F" w:rsidRDefault="003F4E9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Posicionar esta demanda como el pilar central de las mesas de trabajo post-1 de mayo.</w:t>
      </w:r>
    </w:p>
    <w:p w14:paraId="35A4C795" w14:textId="77777777" w:rsidR="003F4E9F" w:rsidRDefault="003F4E9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Exhibir la doble moral institucional: </w:t>
      </w:r>
      <w:r>
        <w:rPr>
          <w:rStyle w:val="Fuerte"/>
          <w:rFonts w:ascii="Arial" w:eastAsia="Times New Roman" w:hAnsi="Arial" w:cs="Arial"/>
        </w:rPr>
        <w:t>"25 para el privado, 10 para el maestro"</w:t>
      </w:r>
      <w:r>
        <w:rPr>
          <w:rFonts w:ascii="Arial" w:eastAsia="Times New Roman" w:hAnsi="Arial" w:cs="Arial"/>
        </w:rPr>
        <w:t>.</w:t>
      </w:r>
    </w:p>
    <w:sectPr w:rsidR="003F4E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BF6"/>
    <w:multiLevelType w:val="multilevel"/>
    <w:tmpl w:val="4C9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5FA5"/>
    <w:multiLevelType w:val="multilevel"/>
    <w:tmpl w:val="213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30BD"/>
    <w:multiLevelType w:val="multilevel"/>
    <w:tmpl w:val="DF2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F4893"/>
    <w:multiLevelType w:val="multilevel"/>
    <w:tmpl w:val="D636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60F64"/>
    <w:multiLevelType w:val="multilevel"/>
    <w:tmpl w:val="047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765C3"/>
    <w:multiLevelType w:val="multilevel"/>
    <w:tmpl w:val="614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690173">
    <w:abstractNumId w:val="4"/>
  </w:num>
  <w:num w:numId="2" w16cid:durableId="1700742550">
    <w:abstractNumId w:val="3"/>
  </w:num>
  <w:num w:numId="3" w16cid:durableId="352342708">
    <w:abstractNumId w:val="5"/>
  </w:num>
  <w:num w:numId="4" w16cid:durableId="733235838">
    <w:abstractNumId w:val="2"/>
  </w:num>
  <w:num w:numId="5" w16cid:durableId="1514756502">
    <w:abstractNumId w:val="0"/>
  </w:num>
  <w:num w:numId="6" w16cid:durableId="316151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D0"/>
    <w:rsid w:val="003F4E9F"/>
    <w:rsid w:val="00686CD0"/>
    <w:rsid w:val="00C2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B01630"/>
  <w15:chartTrackingRefBased/>
  <w15:docId w15:val="{766FB46B-5FC7-4705-B4BE-822F10B4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rFonts w:ascii="Arial" w:hAnsi="Arial" w:cs="Arial"/>
      <w:b/>
      <w:bCs/>
      <w:kern w:val="36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sz w:val="28"/>
      <w:szCs w:val="28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sz w:val="28"/>
      <w:szCs w:val="28"/>
    </w:rPr>
  </w:style>
  <w:style w:type="paragraph" w:styleId="Ttulo5">
    <w:name w:val="heading 5"/>
    <w:basedOn w:val="Normal"/>
    <w:link w:val="Ttulo5Car"/>
    <w:uiPriority w:val="9"/>
    <w:qFormat/>
    <w:pPr>
      <w:spacing w:before="100" w:beforeAutospacing="1" w:after="100" w:afterAutospacing="1"/>
      <w:outlineLvl w:val="4"/>
    </w:pPr>
    <w:rPr>
      <w:rFonts w:ascii="Arial" w:hAnsi="Arial" w:cs="Arial"/>
      <w:b/>
      <w:bCs/>
      <w:sz w:val="28"/>
      <w:szCs w:val="28"/>
    </w:rPr>
  </w:style>
  <w:style w:type="paragraph" w:styleId="Ttulo6">
    <w:name w:val="heading 6"/>
    <w:basedOn w:val="Normal"/>
    <w:link w:val="Ttulo6Car"/>
    <w:uiPriority w:val="9"/>
    <w:qFormat/>
    <w:pPr>
      <w:spacing w:before="100" w:beforeAutospacing="1" w:after="100" w:afterAutospacing="1"/>
      <w:outlineLvl w:val="5"/>
    </w:pPr>
    <w:rPr>
      <w:rFonts w:ascii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  ALFONSO GALVEZ MARTINEZ</dc:creator>
  <cp:keywords/>
  <dc:description/>
  <cp:lastModifiedBy>JOSE  ALFONSO GALVEZ MARTINEZ</cp:lastModifiedBy>
  <cp:revision>2</cp:revision>
  <dcterms:created xsi:type="dcterms:W3CDTF">2026-04-30T16:17:00Z</dcterms:created>
  <dcterms:modified xsi:type="dcterms:W3CDTF">2026-04-30T16:17:00Z</dcterms:modified>
</cp:coreProperties>
</file>