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8FE86" w14:textId="48317404" w:rsidR="008169A9" w:rsidRDefault="008169A9">
      <w:pPr>
        <w:rPr>
          <w:rFonts w:ascii="Arial" w:hAnsi="Arial"/>
          <w:b/>
          <w:sz w:val="28"/>
        </w:rPr>
      </w:pPr>
      <w:r>
        <w:rPr>
          <w:rFonts w:ascii="Arial" w:hAnsi="Arial"/>
          <w:b/>
          <w:sz w:val="28"/>
        </w:rPr>
        <w:t>Carpeta Estratégica: Equiparación a 25 UMAs (ISSSTE Federal)</w:t>
      </w:r>
    </w:p>
    <w:p w14:paraId="2BA4887F" w14:textId="6215428E" w:rsidR="008169A9" w:rsidRDefault="008169A9">
      <w:pPr>
        <w:rPr>
          <w:rFonts w:ascii="Arial" w:hAnsi="Arial"/>
        </w:rPr>
      </w:pPr>
      <w:r>
        <w:rPr>
          <w:rFonts w:ascii="Arial" w:hAnsi="Arial"/>
        </w:rPr>
        <w:t>**Paridad IMSS - ISSSTE | Investigación Actualizada Mayo 2026**</w:t>
      </w:r>
    </w:p>
    <w:p w14:paraId="7E7440FC" w14:textId="77777777" w:rsidR="008169A9" w:rsidRDefault="008169A9">
      <w:pPr>
        <w:rPr>
          <w:rFonts w:ascii="Arial" w:hAnsi="Arial"/>
        </w:rPr>
      </w:pPr>
    </w:p>
    <w:p w14:paraId="60860058" w14:textId="0FC80996" w:rsidR="008169A9" w:rsidRDefault="008169A9">
      <w:pPr>
        <w:rPr>
          <w:rFonts w:ascii="Arial" w:hAnsi="Arial"/>
        </w:rPr>
      </w:pPr>
      <w:r>
        <w:rPr>
          <w:rFonts w:ascii="Arial" w:hAnsi="Arial"/>
        </w:rPr>
        <w:t>**Elaborado para:** Coordinaciones del Magisterio Sonorense — Profe Gonzalo (Coord. Nogales)</w:t>
      </w:r>
    </w:p>
    <w:p w14:paraId="7ABFD5BA" w14:textId="2C773409" w:rsidR="008169A9" w:rsidRDefault="008169A9">
      <w:pPr>
        <w:rPr>
          <w:rFonts w:ascii="Arial" w:hAnsi="Arial"/>
        </w:rPr>
      </w:pPr>
      <w:r>
        <w:rPr>
          <w:rFonts w:ascii="Arial" w:hAnsi="Arial"/>
        </w:rPr>
        <w:t>**Actualizado:** 4 de mayo de 2026</w:t>
      </w:r>
    </w:p>
    <w:p w14:paraId="414324CB" w14:textId="47E756E3" w:rsidR="008169A9" w:rsidRDefault="008169A9">
      <w:pPr>
        <w:rPr>
          <w:rFonts w:ascii="Arial" w:hAnsi="Arial"/>
        </w:rPr>
      </w:pPr>
      <w:r>
        <w:rPr>
          <w:rFonts w:ascii="Arial" w:hAnsi="Arial"/>
        </w:rPr>
        <w:t>**Objetivo:** Establecer la ruta técnica, jurídica y política para elevar el tope de las pensiones del ISSSTE (Décimo Transitorio) de 10 a 25 UMAs, utilizando como punta de lanza el precedente del IMSS.</w:t>
      </w:r>
    </w:p>
    <w:p w14:paraId="5AA0BD95" w14:textId="77777777" w:rsidR="008169A9" w:rsidRDefault="008169A9">
      <w:pPr>
        <w:rPr>
          <w:rFonts w:ascii="Arial" w:hAnsi="Arial"/>
        </w:rPr>
      </w:pPr>
    </w:p>
    <w:p w14:paraId="086182E1" w14:textId="1FE6A43E" w:rsidR="008169A9" w:rsidRDefault="008169A9">
      <w:pPr>
        <w:rPr>
          <w:rFonts w:ascii="Arial" w:hAnsi="Arial"/>
        </w:rPr>
      </w:pPr>
      <w:r>
        <w:rPr>
          <w:rFonts w:ascii="Arial" w:hAnsi="Arial"/>
        </w:rPr>
        <w:t>---</w:t>
      </w:r>
    </w:p>
    <w:p w14:paraId="675B7F7A" w14:textId="77777777" w:rsidR="008169A9" w:rsidRDefault="008169A9">
      <w:pPr>
        <w:rPr>
          <w:rFonts w:ascii="Arial" w:hAnsi="Arial"/>
        </w:rPr>
      </w:pPr>
    </w:p>
    <w:p w14:paraId="0C4F61CF" w14:textId="5C67E723" w:rsidR="008169A9" w:rsidRDefault="008169A9">
      <w:pPr>
        <w:rPr>
          <w:rFonts w:ascii="Arial" w:hAnsi="Arial"/>
          <w:b/>
          <w:sz w:val="28"/>
        </w:rPr>
      </w:pPr>
      <w:r>
        <w:rPr>
          <w:rFonts w:ascii="Arial" w:hAnsi="Arial"/>
          <w:b/>
          <w:sz w:val="28"/>
        </w:rPr>
        <w:t>1. El Diagnóstico: La Injusticia Estructural</w:t>
      </w:r>
    </w:p>
    <w:p w14:paraId="3F8BEBEB" w14:textId="77777777" w:rsidR="008169A9" w:rsidRDefault="008169A9">
      <w:pPr>
        <w:rPr>
          <w:rFonts w:ascii="Arial" w:hAnsi="Arial"/>
        </w:rPr>
      </w:pPr>
    </w:p>
    <w:p w14:paraId="2349465A" w14:textId="4D1CBE64" w:rsidR="008169A9" w:rsidRDefault="008169A9">
      <w:pPr>
        <w:rPr>
          <w:rFonts w:ascii="Arial" w:hAnsi="Arial"/>
        </w:rPr>
      </w:pPr>
      <w:r>
        <w:rPr>
          <w:rFonts w:ascii="Arial" w:hAnsi="Arial"/>
        </w:rPr>
        <w:t>Actualmente, el sistema de seguridad social en México castiga de forma desproporcionada a los trabajadores de la educación y servidores públicos federales en comparación con el sector privado:</w:t>
      </w:r>
    </w:p>
    <w:p w14:paraId="1B2D1669" w14:textId="77777777" w:rsidR="008169A9" w:rsidRDefault="008169A9">
      <w:pPr>
        <w:rPr>
          <w:rFonts w:ascii="Arial" w:hAnsi="Arial"/>
        </w:rPr>
      </w:pPr>
    </w:p>
    <w:p w14:paraId="35FEE54A" w14:textId="0EAF1583" w:rsidR="008169A9" w:rsidRDefault="008169A9">
      <w:pPr>
        <w:rPr>
          <w:rFonts w:ascii="Arial" w:hAnsi="Arial"/>
        </w:rPr>
      </w:pPr>
      <w:r>
        <w:rPr>
          <w:rFonts w:ascii="Arial" w:hAnsi="Arial"/>
        </w:rPr>
        <w:t>| Concepto | IMSS (Ley 1973) | ISSSTE (Décimo Transitorio) |</w:t>
      </w:r>
    </w:p>
    <w:p w14:paraId="386D2FF3" w14:textId="4FD55B50" w:rsidR="008169A9" w:rsidRDefault="008169A9">
      <w:pPr>
        <w:rPr>
          <w:rFonts w:ascii="Arial" w:hAnsi="Arial"/>
        </w:rPr>
      </w:pPr>
      <w:r>
        <w:rPr>
          <w:rFonts w:ascii="Arial" w:hAnsi="Arial"/>
        </w:rPr>
        <w:t>|---|---|---|</w:t>
      </w:r>
    </w:p>
    <w:p w14:paraId="3A70434E" w14:textId="7FD2EA8A" w:rsidR="008169A9" w:rsidRDefault="008169A9">
      <w:pPr>
        <w:rPr>
          <w:rFonts w:ascii="Arial" w:hAnsi="Arial"/>
        </w:rPr>
      </w:pPr>
      <w:r>
        <w:rPr>
          <w:rFonts w:ascii="Arial" w:hAnsi="Arial"/>
        </w:rPr>
        <w:t>| Tope máximo de pensión | **25 UMAs** | **10 UMAs** |</w:t>
      </w:r>
    </w:p>
    <w:p w14:paraId="1C9A469E" w14:textId="6593D2B2" w:rsidR="008169A9" w:rsidRDefault="008169A9">
      <w:pPr>
        <w:rPr>
          <w:rFonts w:ascii="Arial" w:hAnsi="Arial"/>
        </w:rPr>
      </w:pPr>
      <w:r>
        <w:rPr>
          <w:rFonts w:ascii="Arial" w:hAnsi="Arial"/>
        </w:rPr>
        <w:t>| Monto mensual 2026 | ~$89,155.50 pesos | **$35,193.00 pesos** |</w:t>
      </w:r>
    </w:p>
    <w:p w14:paraId="67C4732C" w14:textId="76834050" w:rsidR="008169A9" w:rsidRDefault="008169A9">
      <w:pPr>
        <w:rPr>
          <w:rFonts w:ascii="Arial" w:hAnsi="Arial"/>
        </w:rPr>
      </w:pPr>
      <w:r>
        <w:rPr>
          <w:rFonts w:ascii="Arial" w:hAnsi="Arial"/>
        </w:rPr>
        <w:t>| Fundamento | Art. 28 Ley del Seguro Social | Art. Décimo Transitorio LISSSTE 2007 |</w:t>
      </w:r>
    </w:p>
    <w:p w14:paraId="5BBE4EC2" w14:textId="2EE043BE" w:rsidR="008169A9" w:rsidRDefault="008169A9">
      <w:pPr>
        <w:rPr>
          <w:rFonts w:ascii="Arial" w:hAnsi="Arial"/>
        </w:rPr>
      </w:pPr>
      <w:r>
        <w:rPr>
          <w:rFonts w:ascii="Arial" w:hAnsi="Arial"/>
        </w:rPr>
        <w:t>| Criterio SCJN | Jurisprudencia 2a./J. 164/2019 | Jurisprudencia 2a./J. 30/2021 y 37/2022 |</w:t>
      </w:r>
    </w:p>
    <w:p w14:paraId="73874764" w14:textId="77777777" w:rsidR="008169A9" w:rsidRDefault="008169A9">
      <w:pPr>
        <w:rPr>
          <w:rFonts w:ascii="Arial" w:hAnsi="Arial"/>
        </w:rPr>
      </w:pPr>
    </w:p>
    <w:p w14:paraId="28A905EA" w14:textId="7754AD15" w:rsidR="008169A9" w:rsidRDefault="008169A9">
      <w:pPr>
        <w:rPr>
          <w:rFonts w:ascii="Arial" w:hAnsi="Arial"/>
        </w:rPr>
      </w:pPr>
      <w:r>
        <w:rPr>
          <w:rFonts w:ascii="Arial" w:hAnsi="Arial"/>
        </w:rPr>
        <w:t>&gt; **DATOS OFICIALES UMA 2026 (vigentes desde el 1 de febrero de 2026, INEGI):**</w:t>
      </w:r>
    </w:p>
    <w:p w14:paraId="1DC2C2DF" w14:textId="53BA96C3" w:rsidR="008169A9" w:rsidRDefault="008169A9">
      <w:pPr>
        <w:rPr>
          <w:rFonts w:ascii="Arial" w:hAnsi="Arial"/>
        </w:rPr>
      </w:pPr>
      <w:r>
        <w:rPr>
          <w:rFonts w:ascii="Arial" w:hAnsi="Arial"/>
        </w:rPr>
        <w:lastRenderedPageBreak/>
        <w:t>&gt; - Valor diario: **$117.31 pesos** (incremento del 3.69% vs. 2025)</w:t>
      </w:r>
    </w:p>
    <w:p w14:paraId="23DA0C89" w14:textId="7F1FA960" w:rsidR="008169A9" w:rsidRDefault="008169A9">
      <w:pPr>
        <w:rPr>
          <w:rFonts w:ascii="Arial" w:hAnsi="Arial"/>
        </w:rPr>
      </w:pPr>
      <w:r>
        <w:rPr>
          <w:rFonts w:ascii="Arial" w:hAnsi="Arial"/>
        </w:rPr>
        <w:t>&gt; - Valor mensual: **$3,566.22 pesos**</w:t>
      </w:r>
    </w:p>
    <w:p w14:paraId="49DCE9E1" w14:textId="3B0538FA" w:rsidR="008169A9" w:rsidRDefault="008169A9">
      <w:pPr>
        <w:rPr>
          <w:rFonts w:ascii="Arial" w:hAnsi="Arial"/>
        </w:rPr>
      </w:pPr>
      <w:r>
        <w:rPr>
          <w:rFonts w:ascii="Arial" w:hAnsi="Arial"/>
        </w:rPr>
        <w:t>&gt; - Valor anual: **$42,794.64 pesos**</w:t>
      </w:r>
    </w:p>
    <w:p w14:paraId="6B70E793" w14:textId="6570F2FA" w:rsidR="008169A9" w:rsidRDefault="008169A9">
      <w:pPr>
        <w:rPr>
          <w:rFonts w:ascii="Arial" w:hAnsi="Arial"/>
        </w:rPr>
      </w:pPr>
      <w:r>
        <w:rPr>
          <w:rFonts w:ascii="Arial" w:hAnsi="Arial"/>
        </w:rPr>
        <w:t>&gt; - **Tope pensión ISSSTE (10 UMAs/mes):** $35,193.00 pesos</w:t>
      </w:r>
    </w:p>
    <w:p w14:paraId="0EA48908" w14:textId="5929A1A4" w:rsidR="008169A9" w:rsidRDefault="008169A9">
      <w:pPr>
        <w:rPr>
          <w:rFonts w:ascii="Arial" w:hAnsi="Arial"/>
        </w:rPr>
      </w:pPr>
      <w:r>
        <w:rPr>
          <w:rFonts w:ascii="Arial" w:hAnsi="Arial"/>
        </w:rPr>
        <w:t>&gt; - **Tope pensión IMSS (25 UMAs/mes):** $89,155.50 pesos</w:t>
      </w:r>
    </w:p>
    <w:p w14:paraId="636FB108" w14:textId="4EE76A27" w:rsidR="008169A9" w:rsidRDefault="008169A9">
      <w:pPr>
        <w:rPr>
          <w:rFonts w:ascii="Arial" w:hAnsi="Arial"/>
        </w:rPr>
      </w:pPr>
      <w:r>
        <w:rPr>
          <w:rFonts w:ascii="Arial" w:hAnsi="Arial"/>
        </w:rPr>
        <w:t>&gt; - **BRECHA MENSUAL:** $53,962.50 pesos que el maestro federalizado PIERDE respecto al trabajador privado.</w:t>
      </w:r>
    </w:p>
    <w:p w14:paraId="1D799CE5" w14:textId="77777777" w:rsidR="008169A9" w:rsidRDefault="008169A9">
      <w:pPr>
        <w:rPr>
          <w:rFonts w:ascii="Arial" w:hAnsi="Arial"/>
        </w:rPr>
      </w:pPr>
    </w:p>
    <w:p w14:paraId="4B48AA71" w14:textId="78515DB9" w:rsidR="008169A9" w:rsidRDefault="008169A9">
      <w:pPr>
        <w:rPr>
          <w:rFonts w:ascii="Arial" w:hAnsi="Arial"/>
        </w:rPr>
      </w:pPr>
      <w:r>
        <w:rPr>
          <w:rFonts w:ascii="Arial" w:hAnsi="Arial"/>
        </w:rPr>
        <w:t>Esta discrepancia viola el principio de igualdad y no discriminación (Artículo 1° Constitucional). No puede haber ciudadanos de primera (IMSS) y de segunda (ISSSTE). En México existen dos clases de jubilados: los del sector privado con 25 UMAs y los maestros del Estado con 10. Eso es discriminación institucionalizada.</w:t>
      </w:r>
    </w:p>
    <w:p w14:paraId="6D22F358" w14:textId="77777777" w:rsidR="008169A9" w:rsidRDefault="008169A9">
      <w:pPr>
        <w:rPr>
          <w:rFonts w:ascii="Arial" w:hAnsi="Arial"/>
        </w:rPr>
      </w:pPr>
    </w:p>
    <w:p w14:paraId="1D52F590" w14:textId="12A36976" w:rsidR="008169A9" w:rsidRDefault="008169A9">
      <w:pPr>
        <w:rPr>
          <w:rFonts w:ascii="Arial" w:hAnsi="Arial"/>
        </w:rPr>
      </w:pPr>
      <w:r>
        <w:rPr>
          <w:rFonts w:ascii="Arial" w:hAnsi="Arial"/>
        </w:rPr>
        <w:t>---</w:t>
      </w:r>
    </w:p>
    <w:p w14:paraId="15682DCF" w14:textId="77777777" w:rsidR="008169A9" w:rsidRDefault="008169A9">
      <w:pPr>
        <w:rPr>
          <w:rFonts w:ascii="Arial" w:hAnsi="Arial"/>
        </w:rPr>
      </w:pPr>
    </w:p>
    <w:p w14:paraId="421ACE7F" w14:textId="1970A339" w:rsidR="008169A9" w:rsidRDefault="008169A9">
      <w:pPr>
        <w:rPr>
          <w:rFonts w:ascii="Arial" w:hAnsi="Arial"/>
          <w:b/>
          <w:sz w:val="28"/>
        </w:rPr>
      </w:pPr>
      <w:r>
        <w:rPr>
          <w:rFonts w:ascii="Arial" w:hAnsi="Arial"/>
          <w:b/>
          <w:sz w:val="28"/>
        </w:rPr>
        <w:t>2. El Precedente IMSS: ¿Cómo lograron retener las 25 UMAs?</w:t>
      </w:r>
    </w:p>
    <w:p w14:paraId="5A7DFE73" w14:textId="77777777" w:rsidR="008169A9" w:rsidRDefault="008169A9">
      <w:pPr>
        <w:rPr>
          <w:rFonts w:ascii="Arial" w:hAnsi="Arial"/>
        </w:rPr>
      </w:pPr>
    </w:p>
    <w:p w14:paraId="7F970E96" w14:textId="61177A5D" w:rsidR="008169A9" w:rsidRDefault="008169A9">
      <w:pPr>
        <w:rPr>
          <w:rFonts w:ascii="Arial" w:hAnsi="Arial"/>
        </w:rPr>
      </w:pPr>
      <w:r>
        <w:rPr>
          <w:rFonts w:ascii="Arial" w:hAnsi="Arial"/>
        </w:rPr>
        <w:t>Es un mito que la Suprema Corte "le regaló" las 25 UMAs al IMSS. La realidad es que el IMSS las retuvo mediante una **decisión política y administrativa** frente a fallos adversos de la propia Corte.</w:t>
      </w:r>
    </w:p>
    <w:p w14:paraId="08022F17" w14:textId="77777777" w:rsidR="008169A9" w:rsidRDefault="008169A9">
      <w:pPr>
        <w:rPr>
          <w:rFonts w:ascii="Arial" w:hAnsi="Arial"/>
        </w:rPr>
      </w:pPr>
    </w:p>
    <w:p w14:paraId="4B1AAA43" w14:textId="5902970B" w:rsidR="008169A9" w:rsidRDefault="008169A9">
      <w:pPr>
        <w:rPr>
          <w:rFonts w:ascii="Arial" w:hAnsi="Arial"/>
        </w:rPr>
      </w:pPr>
      <w:r>
        <w:rPr>
          <w:rFonts w:ascii="Arial" w:hAnsi="Arial"/>
        </w:rPr>
        <w:t>### ¿Qué pasó exactamente?</w:t>
      </w:r>
    </w:p>
    <w:p w14:paraId="0C5B6F15" w14:textId="77777777" w:rsidR="008169A9" w:rsidRDefault="008169A9">
      <w:pPr>
        <w:rPr>
          <w:rFonts w:ascii="Arial" w:hAnsi="Arial"/>
        </w:rPr>
      </w:pPr>
    </w:p>
    <w:p w14:paraId="4E308BB7" w14:textId="63A10389" w:rsidR="008169A9" w:rsidRDefault="008169A9">
      <w:pPr>
        <w:rPr>
          <w:rFonts w:ascii="Arial" w:hAnsi="Arial"/>
        </w:rPr>
      </w:pPr>
      <w:r>
        <w:rPr>
          <w:rFonts w:ascii="Arial" w:hAnsi="Arial"/>
        </w:rPr>
        <w:t>1. **El Fallo de la Corte (2019-2020):** La Segunda Sala de la SCJN emitió la Jurisprudencia **2a./J. 164/2019**, dictaminando que la "Generación de Transición" del IMSS (trabajadores que optaron por la Ley de 1973 al momento de la reforma de 1997) debía toparse a **10 salarios mínimos** si accedían a la pensión bajo la Ley de 1973.</w:t>
      </w:r>
    </w:p>
    <w:p w14:paraId="439CC431" w14:textId="77777777" w:rsidR="008169A9" w:rsidRDefault="008169A9">
      <w:pPr>
        <w:rPr>
          <w:rFonts w:ascii="Arial" w:hAnsi="Arial"/>
        </w:rPr>
      </w:pPr>
    </w:p>
    <w:p w14:paraId="0142E278" w14:textId="7DF6B7FB" w:rsidR="008169A9" w:rsidRDefault="008169A9">
      <w:pPr>
        <w:rPr>
          <w:rFonts w:ascii="Arial" w:hAnsi="Arial"/>
        </w:rPr>
      </w:pPr>
      <w:r>
        <w:rPr>
          <w:rFonts w:ascii="Arial" w:hAnsi="Arial"/>
        </w:rPr>
        <w:lastRenderedPageBreak/>
        <w:t>2. **La Maniobra del IMSS:** Ante el golpe, el **Consejo Técnico del IMSS** y el Director General **Zoé Robledo** tomaron una decisión de política interna: **no aplicar de forma generalizada el criterio de la SCJN**. El argumento técnico fue:</w:t>
      </w:r>
    </w:p>
    <w:p w14:paraId="16C2727A" w14:textId="3CAE76E1" w:rsidR="008169A9" w:rsidRDefault="008169A9">
      <w:pPr>
        <w:rPr>
          <w:rFonts w:ascii="Arial" w:hAnsi="Arial"/>
        </w:rPr>
      </w:pPr>
      <w:r>
        <w:rPr>
          <w:rFonts w:ascii="Arial" w:hAnsi="Arial"/>
        </w:rPr>
        <w:t xml:space="preserve">   - La jurisprudencia solo era vinculante para casos de juicios (amparos) específicos, no como política general del Instituto.</w:t>
      </w:r>
    </w:p>
    <w:p w14:paraId="61D4651D" w14:textId="2C3806D1" w:rsidR="008169A9" w:rsidRDefault="008169A9">
      <w:pPr>
        <w:rPr>
          <w:rFonts w:ascii="Arial" w:hAnsi="Arial"/>
        </w:rPr>
      </w:pPr>
      <w:r>
        <w:rPr>
          <w:rFonts w:ascii="Arial" w:hAnsi="Arial"/>
        </w:rPr>
        <w:t xml:space="preserve">   - Como decisión administrativa interna, el IMSS respetaría el esfuerzo contributivo de quienes cotizaron sobre **25 UMAs**, salvaguardando sus derechos adquiridos.</w:t>
      </w:r>
    </w:p>
    <w:p w14:paraId="154D9989" w14:textId="5D07DC88" w:rsidR="008169A9" w:rsidRDefault="008169A9">
      <w:pPr>
        <w:rPr>
          <w:rFonts w:ascii="Arial" w:hAnsi="Arial"/>
        </w:rPr>
      </w:pPr>
      <w:r>
        <w:rPr>
          <w:rFonts w:ascii="Arial" w:hAnsi="Arial"/>
        </w:rPr>
        <w:t xml:space="preserve">   - Esta decisión fue avalada por el propio Consejo Técnico y se convirtió en política institucional del Instituto.</w:t>
      </w:r>
    </w:p>
    <w:p w14:paraId="64D26768" w14:textId="77777777" w:rsidR="008169A9" w:rsidRDefault="008169A9">
      <w:pPr>
        <w:rPr>
          <w:rFonts w:ascii="Arial" w:hAnsi="Arial"/>
        </w:rPr>
      </w:pPr>
    </w:p>
    <w:p w14:paraId="06E8A3A7" w14:textId="25DAE010" w:rsidR="008169A9" w:rsidRDefault="008169A9">
      <w:pPr>
        <w:rPr>
          <w:rFonts w:ascii="Arial" w:hAnsi="Arial"/>
        </w:rPr>
      </w:pPr>
      <w:r>
        <w:rPr>
          <w:rFonts w:ascii="Arial" w:hAnsi="Arial"/>
        </w:rPr>
        <w:t>3. **El Resultado:** Miles de pensionados IMSS de la generación de transición conservaron sus pensiones calculadas sobre 25 UMAs, mientras los maestros del ISSSTE quedaron atrapados en 10 UMAs por mandato legal expreso.</w:t>
      </w:r>
    </w:p>
    <w:p w14:paraId="1FA8E4DB" w14:textId="77777777" w:rsidR="008169A9" w:rsidRDefault="008169A9">
      <w:pPr>
        <w:rPr>
          <w:rFonts w:ascii="Arial" w:hAnsi="Arial"/>
        </w:rPr>
      </w:pPr>
    </w:p>
    <w:p w14:paraId="66F940C6" w14:textId="67E081A4" w:rsidR="008169A9" w:rsidRDefault="008169A9">
      <w:pPr>
        <w:rPr>
          <w:rFonts w:ascii="Arial" w:hAnsi="Arial"/>
        </w:rPr>
      </w:pPr>
      <w:r>
        <w:rPr>
          <w:rFonts w:ascii="Arial" w:hAnsi="Arial"/>
        </w:rPr>
        <w:t>&gt; **LECCIÓN TÁCTICA CLAVE:** El IMSS demostró que la **Voluntad Política e Institucional** puede frenar la aplicación generalizada de una jurisprudencia de la SCJN cuando la intención es proteger los derechos de los pensionados. Si Zoé Robledo pudo hacerlo para los trabajadores privados, la misma lógica aplica para exigírselo al Director General del ISSSTE.</w:t>
      </w:r>
    </w:p>
    <w:p w14:paraId="165411CB" w14:textId="77777777" w:rsidR="008169A9" w:rsidRDefault="008169A9">
      <w:pPr>
        <w:rPr>
          <w:rFonts w:ascii="Arial" w:hAnsi="Arial"/>
        </w:rPr>
      </w:pPr>
    </w:p>
    <w:p w14:paraId="2C04090C" w14:textId="31DBDE9D" w:rsidR="008169A9" w:rsidRDefault="008169A9">
      <w:pPr>
        <w:rPr>
          <w:rFonts w:ascii="Arial" w:hAnsi="Arial"/>
        </w:rPr>
      </w:pPr>
      <w:r>
        <w:rPr>
          <w:rFonts w:ascii="Arial" w:hAnsi="Arial"/>
        </w:rPr>
        <w:t>---</w:t>
      </w:r>
    </w:p>
    <w:p w14:paraId="73FC6148" w14:textId="77777777" w:rsidR="008169A9" w:rsidRDefault="008169A9">
      <w:pPr>
        <w:rPr>
          <w:rFonts w:ascii="Arial" w:hAnsi="Arial"/>
        </w:rPr>
      </w:pPr>
    </w:p>
    <w:p w14:paraId="3ED38258" w14:textId="533C3EF0" w:rsidR="008169A9" w:rsidRDefault="008169A9">
      <w:pPr>
        <w:rPr>
          <w:rFonts w:ascii="Arial" w:hAnsi="Arial"/>
          <w:b/>
          <w:sz w:val="28"/>
        </w:rPr>
      </w:pPr>
      <w:r>
        <w:rPr>
          <w:rFonts w:ascii="Arial" w:hAnsi="Arial"/>
          <w:b/>
          <w:sz w:val="28"/>
        </w:rPr>
        <w:t>3. El Estado Jurídico Actual (Actualización Mayo 2026)</w:t>
      </w:r>
    </w:p>
    <w:p w14:paraId="50C5BA82" w14:textId="77777777" w:rsidR="008169A9" w:rsidRDefault="008169A9">
      <w:pPr>
        <w:rPr>
          <w:rFonts w:ascii="Arial" w:hAnsi="Arial"/>
        </w:rPr>
      </w:pPr>
    </w:p>
    <w:p w14:paraId="6E5944B5" w14:textId="71ADC2B8" w:rsidR="008169A9" w:rsidRDefault="008169A9">
      <w:pPr>
        <w:rPr>
          <w:rFonts w:ascii="Arial" w:hAnsi="Arial"/>
        </w:rPr>
      </w:pPr>
      <w:r>
        <w:rPr>
          <w:rFonts w:ascii="Arial" w:hAnsi="Arial"/>
        </w:rPr>
        <w:t>### Jurisprudencia Vigente — Segunda Sala SCJN</w:t>
      </w:r>
    </w:p>
    <w:p w14:paraId="46569655" w14:textId="02D20284" w:rsidR="008169A9" w:rsidRDefault="008169A9">
      <w:pPr>
        <w:rPr>
          <w:rFonts w:ascii="Arial" w:hAnsi="Arial"/>
        </w:rPr>
      </w:pPr>
      <w:r>
        <w:rPr>
          <w:rFonts w:ascii="Arial" w:hAnsi="Arial"/>
        </w:rPr>
        <w:t>La situación legal más reciente muestra una línea jurisprudencial consolidada pero con fisuras aprovechables:</w:t>
      </w:r>
    </w:p>
    <w:p w14:paraId="068425EB" w14:textId="77777777" w:rsidR="008169A9" w:rsidRDefault="008169A9">
      <w:pPr>
        <w:rPr>
          <w:rFonts w:ascii="Arial" w:hAnsi="Arial"/>
        </w:rPr>
      </w:pPr>
    </w:p>
    <w:p w14:paraId="5FF34A8C" w14:textId="137FBD85" w:rsidR="008169A9" w:rsidRDefault="008169A9">
      <w:pPr>
        <w:rPr>
          <w:rFonts w:ascii="Arial" w:hAnsi="Arial"/>
        </w:rPr>
      </w:pPr>
      <w:r>
        <w:rPr>
          <w:rFonts w:ascii="Arial" w:hAnsi="Arial"/>
        </w:rPr>
        <w:t>- **2a./J. 30/2021 (10a. Época):** Establece que el tope máximo de pensiones del Décimo Transitorio debe cuantificarse en **UMAs**, no en salarios mínimos. Es obligatoria para todos los tribunales del país.</w:t>
      </w:r>
    </w:p>
    <w:p w14:paraId="7091CA77" w14:textId="2411278D" w:rsidR="008169A9" w:rsidRDefault="008169A9">
      <w:pPr>
        <w:rPr>
          <w:rFonts w:ascii="Arial" w:hAnsi="Arial"/>
        </w:rPr>
      </w:pPr>
      <w:r>
        <w:rPr>
          <w:rFonts w:ascii="Arial" w:hAnsi="Arial"/>
        </w:rPr>
        <w:lastRenderedPageBreak/>
        <w:t>- **2a./J. 37/2022 (11a. Época):** Ratifica el criterio anterior en la nueva Época Judicial (ya bajo el nuevo Código). Sigue siendo el obstáculo principal.</w:t>
      </w:r>
    </w:p>
    <w:p w14:paraId="11CA3514" w14:textId="77777777" w:rsidR="008169A9" w:rsidRDefault="008169A9">
      <w:pPr>
        <w:rPr>
          <w:rFonts w:ascii="Arial" w:hAnsi="Arial"/>
        </w:rPr>
      </w:pPr>
    </w:p>
    <w:p w14:paraId="132A2F4C" w14:textId="546539F8" w:rsidR="008169A9" w:rsidRDefault="008169A9">
      <w:pPr>
        <w:rPr>
          <w:rFonts w:ascii="Arial" w:hAnsi="Arial"/>
        </w:rPr>
      </w:pPr>
      <w:r>
        <w:rPr>
          <w:rFonts w:ascii="Arial" w:hAnsi="Arial"/>
        </w:rPr>
        <w:t>### La Fisura Jurídica — Primera Sala SCJN</w:t>
      </w:r>
    </w:p>
    <w:p w14:paraId="700E86F7" w14:textId="785CA903" w:rsidR="008169A9" w:rsidRDefault="008169A9">
      <w:pPr>
        <w:rPr>
          <w:rFonts w:ascii="Arial" w:hAnsi="Arial"/>
        </w:rPr>
      </w:pPr>
      <w:r>
        <w:rPr>
          <w:rFonts w:ascii="Arial" w:hAnsi="Arial"/>
        </w:rPr>
        <w:t>Investigación actualizada confirma que existen tesis de la **Primera Sala** de la SCJN con criterios más garantistas:</w:t>
      </w:r>
    </w:p>
    <w:p w14:paraId="6F8F7B9C" w14:textId="6E860502" w:rsidR="008169A9" w:rsidRDefault="008169A9">
      <w:pPr>
        <w:rPr>
          <w:rFonts w:ascii="Arial" w:hAnsi="Arial"/>
        </w:rPr>
      </w:pPr>
      <w:r>
        <w:rPr>
          <w:rFonts w:ascii="Arial" w:hAnsi="Arial"/>
        </w:rPr>
        <w:t>- Algunos especialistas y abogados laboralistas han argumentado exitosamente (en casos individuales) que **la naturaleza alimentaria y sustitutiva del salario de la pensión** la excluye del régimen de la UMA.</w:t>
      </w:r>
    </w:p>
    <w:p w14:paraId="5913296B" w14:textId="4F28D13A" w:rsidR="008169A9" w:rsidRDefault="008169A9">
      <w:pPr>
        <w:rPr>
          <w:rFonts w:ascii="Arial" w:hAnsi="Arial"/>
        </w:rPr>
      </w:pPr>
      <w:r>
        <w:rPr>
          <w:rFonts w:ascii="Arial" w:hAnsi="Arial"/>
        </w:rPr>
        <w:t>- El argumento: La pensión no es una "obligación" en sentido administrativo, sino un **derecho laboral adquirido** cuya base de cálculo fue pactada cuando el trabajador cotizó en salario mínimo, no en UMA.</w:t>
      </w:r>
    </w:p>
    <w:p w14:paraId="5C0340E3" w14:textId="03DD1BE9" w:rsidR="008169A9" w:rsidRDefault="008169A9">
      <w:pPr>
        <w:rPr>
          <w:rFonts w:ascii="Arial" w:hAnsi="Arial"/>
        </w:rPr>
      </w:pPr>
      <w:r>
        <w:rPr>
          <w:rFonts w:ascii="Arial" w:hAnsi="Arial"/>
        </w:rPr>
        <w:t>- **Excepción reconocida por la propia SCJN:** El criterio de la UMA NO puede aplicarse retroactivamente a quienes ya contaban con una **sentencia ejecutoria firme** que ordenaba el cálculo en salarios mínimos antes de 2016.</w:t>
      </w:r>
    </w:p>
    <w:p w14:paraId="7735B19D" w14:textId="77777777" w:rsidR="008169A9" w:rsidRDefault="008169A9">
      <w:pPr>
        <w:rPr>
          <w:rFonts w:ascii="Arial" w:hAnsi="Arial"/>
        </w:rPr>
      </w:pPr>
    </w:p>
    <w:p w14:paraId="2BB08292" w14:textId="2D8DEE36" w:rsidR="008169A9" w:rsidRDefault="008169A9">
      <w:pPr>
        <w:rPr>
          <w:rFonts w:ascii="Arial" w:hAnsi="Arial"/>
        </w:rPr>
      </w:pPr>
      <w:r>
        <w:rPr>
          <w:rFonts w:ascii="Arial" w:hAnsi="Arial"/>
        </w:rPr>
        <w:t>### Estado del Litigio de Amparo</w:t>
      </w:r>
    </w:p>
    <w:p w14:paraId="2A781E44" w14:textId="5D2DE9F2" w:rsidR="008169A9" w:rsidRDefault="008169A9">
      <w:pPr>
        <w:rPr>
          <w:rFonts w:ascii="Arial" w:hAnsi="Arial"/>
        </w:rPr>
      </w:pPr>
      <w:r>
        <w:rPr>
          <w:rFonts w:ascii="Arial" w:hAnsi="Arial"/>
        </w:rPr>
        <w:t>- Miles de maestros jubilados han iniciado juicios de amparo argumentando la inconstitucionalidad del tope de 10 UMAs.</w:t>
      </w:r>
    </w:p>
    <w:p w14:paraId="2FFDA2A2" w14:textId="3054F479" w:rsidR="008169A9" w:rsidRDefault="008169A9">
      <w:pPr>
        <w:rPr>
          <w:rFonts w:ascii="Arial" w:hAnsi="Arial"/>
        </w:rPr>
      </w:pPr>
      <w:r>
        <w:rPr>
          <w:rFonts w:ascii="Arial" w:hAnsi="Arial"/>
        </w:rPr>
        <w:t>- **Resultado predominante:** El ISSSTE aplica el criterio mayoritario de la Segunda Sala. La mayoría de los amparos se pierden en el marco jurídico vigente.</w:t>
      </w:r>
    </w:p>
    <w:p w14:paraId="43DCB9EC" w14:textId="05D5683B" w:rsidR="008169A9" w:rsidRDefault="008169A9">
      <w:pPr>
        <w:rPr>
          <w:rFonts w:ascii="Arial" w:hAnsi="Arial"/>
        </w:rPr>
      </w:pPr>
      <w:r>
        <w:rPr>
          <w:rFonts w:ascii="Arial" w:hAnsi="Arial"/>
        </w:rPr>
        <w:t>- **Excepción:** Casos con sentencias previas a la reforma de 2016 tienen mayores probabilidades de éxito.</w:t>
      </w:r>
    </w:p>
    <w:p w14:paraId="604855A2" w14:textId="520A06B6" w:rsidR="008169A9" w:rsidRDefault="008169A9">
      <w:pPr>
        <w:rPr>
          <w:rFonts w:ascii="Arial" w:hAnsi="Arial"/>
        </w:rPr>
      </w:pPr>
      <w:r>
        <w:rPr>
          <w:rFonts w:ascii="Arial" w:hAnsi="Arial"/>
        </w:rPr>
        <w:t>- **Conclusión táctica:** El litigio individual tiene un costo alto con baja probabilidad de éxito masivo. La ruta legislativa es la vía más efectiva para una solución colectiva.</w:t>
      </w:r>
    </w:p>
    <w:p w14:paraId="376C4486" w14:textId="77777777" w:rsidR="008169A9" w:rsidRDefault="008169A9">
      <w:pPr>
        <w:rPr>
          <w:rFonts w:ascii="Arial" w:hAnsi="Arial"/>
        </w:rPr>
      </w:pPr>
    </w:p>
    <w:p w14:paraId="03E644EE" w14:textId="33EF049A" w:rsidR="008169A9" w:rsidRDefault="008169A9">
      <w:pPr>
        <w:rPr>
          <w:rFonts w:ascii="Arial" w:hAnsi="Arial"/>
        </w:rPr>
      </w:pPr>
      <w:r>
        <w:rPr>
          <w:rFonts w:ascii="Arial" w:hAnsi="Arial"/>
        </w:rPr>
        <w:t>---</w:t>
      </w:r>
    </w:p>
    <w:p w14:paraId="01E231C7" w14:textId="77777777" w:rsidR="008169A9" w:rsidRDefault="008169A9">
      <w:pPr>
        <w:rPr>
          <w:rFonts w:ascii="Arial" w:hAnsi="Arial"/>
        </w:rPr>
      </w:pPr>
    </w:p>
    <w:p w14:paraId="50E6A3D4" w14:textId="3B27CBBD" w:rsidR="008169A9" w:rsidRDefault="008169A9">
      <w:pPr>
        <w:rPr>
          <w:rFonts w:ascii="Arial" w:hAnsi="Arial"/>
          <w:b/>
          <w:sz w:val="28"/>
        </w:rPr>
      </w:pPr>
      <w:r>
        <w:rPr>
          <w:rFonts w:ascii="Arial" w:hAnsi="Arial"/>
          <w:b/>
          <w:sz w:val="28"/>
        </w:rPr>
        <w:t>4. Movimiento Nacional 2026: ¿Qué está pasando en el país?</w:t>
      </w:r>
    </w:p>
    <w:p w14:paraId="5F414D95" w14:textId="77777777" w:rsidR="008169A9" w:rsidRDefault="008169A9">
      <w:pPr>
        <w:rPr>
          <w:rFonts w:ascii="Arial" w:hAnsi="Arial"/>
        </w:rPr>
      </w:pPr>
    </w:p>
    <w:p w14:paraId="24F37C24" w14:textId="2BEE4899" w:rsidR="008169A9" w:rsidRDefault="008169A9">
      <w:pPr>
        <w:rPr>
          <w:rFonts w:ascii="Arial" w:hAnsi="Arial"/>
        </w:rPr>
      </w:pPr>
      <w:r>
        <w:rPr>
          <w:rFonts w:ascii="Arial" w:hAnsi="Arial"/>
        </w:rPr>
        <w:lastRenderedPageBreak/>
        <w:t>### El Magisterio Sonorense en el Contexto Nacional</w:t>
      </w:r>
    </w:p>
    <w:p w14:paraId="630B0BC6" w14:textId="39CF940E" w:rsidR="008169A9" w:rsidRDefault="008169A9">
      <w:pPr>
        <w:rPr>
          <w:rFonts w:ascii="Arial" w:hAnsi="Arial"/>
        </w:rPr>
      </w:pPr>
      <w:r>
        <w:rPr>
          <w:rFonts w:ascii="Arial" w:hAnsi="Arial"/>
        </w:rPr>
        <w:t>La demanda del Magisterio Sonorense no es una lucha aislada. A nivel nacional el movimiento ha ganado visibilidad en 2026:</w:t>
      </w:r>
    </w:p>
    <w:p w14:paraId="36E09E3F" w14:textId="77777777" w:rsidR="008169A9" w:rsidRDefault="008169A9">
      <w:pPr>
        <w:rPr>
          <w:rFonts w:ascii="Arial" w:hAnsi="Arial"/>
        </w:rPr>
      </w:pPr>
    </w:p>
    <w:p w14:paraId="0C7975AE" w14:textId="2AA44631" w:rsidR="008169A9" w:rsidRDefault="008169A9">
      <w:pPr>
        <w:rPr>
          <w:rFonts w:ascii="Arial" w:hAnsi="Arial"/>
        </w:rPr>
      </w:pPr>
      <w:r>
        <w:rPr>
          <w:rFonts w:ascii="Arial" w:hAnsi="Arial"/>
        </w:rPr>
        <w:t>- El **SNTE y movimientos independientes** como el MS continúan realizando gestiones políticas y legislativas para buscar la homologación a 25 UMAs.</w:t>
      </w:r>
    </w:p>
    <w:p w14:paraId="688D803F" w14:textId="177DDE0F" w:rsidR="008169A9" w:rsidRDefault="008169A9">
      <w:pPr>
        <w:rPr>
          <w:rFonts w:ascii="Arial" w:hAnsi="Arial"/>
        </w:rPr>
      </w:pPr>
      <w:r>
        <w:rPr>
          <w:rFonts w:ascii="Arial" w:hAnsi="Arial"/>
        </w:rPr>
        <w:t>- El **Diario de Sonora** y medios regionales han cubierto las movilizaciones constantes del magisterio en Nogales y otras ciudades del estado exigiendo la equiparación.</w:t>
      </w:r>
    </w:p>
    <w:p w14:paraId="2C00C2B5" w14:textId="343A558C" w:rsidR="008169A9" w:rsidRDefault="008169A9">
      <w:pPr>
        <w:rPr>
          <w:rFonts w:ascii="Arial" w:hAnsi="Arial"/>
        </w:rPr>
      </w:pPr>
      <w:r>
        <w:rPr>
          <w:rFonts w:ascii="Arial" w:hAnsi="Arial"/>
        </w:rPr>
        <w:t>- Las demandas específicas del movimiento en Sonora incluyen:</w:t>
      </w:r>
    </w:p>
    <w:p w14:paraId="792CA90F" w14:textId="415E9C43" w:rsidR="008169A9" w:rsidRDefault="008169A9">
      <w:pPr>
        <w:rPr>
          <w:rFonts w:ascii="Arial" w:hAnsi="Arial"/>
        </w:rPr>
      </w:pPr>
      <w:r>
        <w:rPr>
          <w:rFonts w:ascii="Arial" w:hAnsi="Arial"/>
        </w:rPr>
        <w:t xml:space="preserve">  - Revisión o abrogación de la Ley del ISSSTE de 2007.</w:t>
      </w:r>
    </w:p>
    <w:p w14:paraId="6580AB1C" w14:textId="14313E0C" w:rsidR="008169A9" w:rsidRDefault="008169A9">
      <w:pPr>
        <w:rPr>
          <w:rFonts w:ascii="Arial" w:hAnsi="Arial"/>
        </w:rPr>
      </w:pPr>
      <w:r>
        <w:rPr>
          <w:rFonts w:ascii="Arial" w:hAnsi="Arial"/>
        </w:rPr>
        <w:t xml:space="preserve">  - Pensiones basadas en el **último salario percibido**.</w:t>
      </w:r>
    </w:p>
    <w:p w14:paraId="0D4A9976" w14:textId="01EDFE2A" w:rsidR="008169A9" w:rsidRDefault="008169A9">
      <w:pPr>
        <w:rPr>
          <w:rFonts w:ascii="Arial" w:hAnsi="Arial"/>
        </w:rPr>
      </w:pPr>
      <w:r>
        <w:rPr>
          <w:rFonts w:ascii="Arial" w:hAnsi="Arial"/>
        </w:rPr>
        <w:t xml:space="preserve">  - Regreso a esquemas de **30 años de servicio** para hombres y **28 años** para mujeres.</w:t>
      </w:r>
    </w:p>
    <w:p w14:paraId="7EF75D04" w14:textId="72B869C5" w:rsidR="008169A9" w:rsidRDefault="008169A9">
      <w:pPr>
        <w:rPr>
          <w:rFonts w:ascii="Arial" w:hAnsi="Arial"/>
        </w:rPr>
      </w:pPr>
      <w:r>
        <w:rPr>
          <w:rFonts w:ascii="Arial" w:hAnsi="Arial"/>
        </w:rPr>
        <w:t xml:space="preserve">  - **Meta mínima:** Elevar el tope de 10 a **25 UMAs** como nivelación de emergencia.</w:t>
      </w:r>
    </w:p>
    <w:p w14:paraId="58EF1635" w14:textId="6733DFCB" w:rsidR="008169A9" w:rsidRDefault="008169A9">
      <w:pPr>
        <w:rPr>
          <w:rFonts w:ascii="Arial" w:hAnsi="Arial"/>
        </w:rPr>
      </w:pPr>
      <w:r>
        <w:rPr>
          <w:rFonts w:ascii="Arial" w:hAnsi="Arial"/>
        </w:rPr>
        <w:t>- Las negociaciones SNTE-SEP de mayo 2026 contemplan las mesas de trabajo sobre pensiones como tema central del pliego petitorio.</w:t>
      </w:r>
    </w:p>
    <w:p w14:paraId="1F337D97" w14:textId="77777777" w:rsidR="008169A9" w:rsidRDefault="008169A9">
      <w:pPr>
        <w:rPr>
          <w:rFonts w:ascii="Arial" w:hAnsi="Arial"/>
        </w:rPr>
      </w:pPr>
    </w:p>
    <w:p w14:paraId="7EE30C18" w14:textId="6753F0DF" w:rsidR="008169A9" w:rsidRDefault="008169A9">
      <w:pPr>
        <w:rPr>
          <w:rFonts w:ascii="Arial" w:hAnsi="Arial"/>
        </w:rPr>
      </w:pPr>
      <w:r>
        <w:rPr>
          <w:rFonts w:ascii="Arial" w:hAnsi="Arial"/>
        </w:rPr>
        <w:t>---</w:t>
      </w:r>
    </w:p>
    <w:p w14:paraId="07CE9FF3" w14:textId="77777777" w:rsidR="008169A9" w:rsidRDefault="008169A9">
      <w:pPr>
        <w:rPr>
          <w:rFonts w:ascii="Arial" w:hAnsi="Arial"/>
        </w:rPr>
      </w:pPr>
    </w:p>
    <w:p w14:paraId="144919A6" w14:textId="5369BDE9" w:rsidR="008169A9" w:rsidRDefault="008169A9">
      <w:pPr>
        <w:rPr>
          <w:rFonts w:ascii="Arial" w:hAnsi="Arial"/>
          <w:b/>
          <w:sz w:val="28"/>
        </w:rPr>
      </w:pPr>
      <w:r>
        <w:rPr>
          <w:rFonts w:ascii="Arial" w:hAnsi="Arial"/>
          <w:b/>
          <w:sz w:val="28"/>
        </w:rPr>
        <w:t>5. La Estrategia del Magisterio Sonorense: La Ruta hacia las 25 UMAs</w:t>
      </w:r>
    </w:p>
    <w:p w14:paraId="242E5F13" w14:textId="77777777" w:rsidR="008169A9" w:rsidRDefault="008169A9">
      <w:pPr>
        <w:rPr>
          <w:rFonts w:ascii="Arial" w:hAnsi="Arial"/>
        </w:rPr>
      </w:pPr>
    </w:p>
    <w:p w14:paraId="46ACD009" w14:textId="6EB5C9C6" w:rsidR="008169A9" w:rsidRDefault="008169A9">
      <w:pPr>
        <w:rPr>
          <w:rFonts w:ascii="Arial" w:hAnsi="Arial"/>
        </w:rPr>
      </w:pPr>
      <w:r>
        <w:rPr>
          <w:rFonts w:ascii="Arial" w:hAnsi="Arial"/>
        </w:rPr>
        <w:t>Dado que el ISSSTE tiene el tope incrustado en la ley, la ruta no puede ser solo administrativa como en el IMSS. Se requiere un ataque combinado en tres frentes:</w:t>
      </w:r>
    </w:p>
    <w:p w14:paraId="67F53A33" w14:textId="77777777" w:rsidR="008169A9" w:rsidRDefault="008169A9">
      <w:pPr>
        <w:rPr>
          <w:rFonts w:ascii="Arial" w:hAnsi="Arial"/>
        </w:rPr>
      </w:pPr>
    </w:p>
    <w:p w14:paraId="71EA2649" w14:textId="3ECBB8CE" w:rsidR="008169A9" w:rsidRDefault="008169A9">
      <w:pPr>
        <w:rPr>
          <w:rFonts w:ascii="Arial" w:hAnsi="Arial"/>
        </w:rPr>
      </w:pPr>
      <w:r>
        <w:rPr>
          <w:rFonts w:ascii="Arial" w:hAnsi="Arial"/>
        </w:rPr>
        <w:t>### A. Vía Legislativa — La Reforma del Décimo Transitorio (Prioridad Máxima)</w:t>
      </w:r>
    </w:p>
    <w:p w14:paraId="70E833C3" w14:textId="1716BD33" w:rsidR="008169A9" w:rsidRDefault="008169A9">
      <w:pPr>
        <w:rPr>
          <w:rFonts w:ascii="Arial" w:hAnsi="Arial"/>
        </w:rPr>
      </w:pPr>
      <w:r>
        <w:rPr>
          <w:rFonts w:ascii="Arial" w:hAnsi="Arial"/>
        </w:rPr>
        <w:t>La solución de fondo y la única que garantiza un cambio sistémico.</w:t>
      </w:r>
    </w:p>
    <w:p w14:paraId="633D9C89" w14:textId="77777777" w:rsidR="008169A9" w:rsidRDefault="008169A9">
      <w:pPr>
        <w:rPr>
          <w:rFonts w:ascii="Arial" w:hAnsi="Arial"/>
        </w:rPr>
      </w:pPr>
    </w:p>
    <w:p w14:paraId="3777DCDC" w14:textId="0C60BC1E" w:rsidR="008169A9" w:rsidRDefault="008169A9">
      <w:pPr>
        <w:rPr>
          <w:rFonts w:ascii="Arial" w:hAnsi="Arial"/>
        </w:rPr>
      </w:pPr>
      <w:r>
        <w:rPr>
          <w:rFonts w:ascii="Arial" w:hAnsi="Arial"/>
        </w:rPr>
        <w:lastRenderedPageBreak/>
        <w:t>**Acción concreta:** Exigir la reforma al **Artículo Décimo Transitorio de la Ley del ISSSTE**, homologando su redacción con el **Artículo 28 de la Ley del Seguro Social (LSS-1997)**, elevando el techo de **10 a 25 UMAs**.</w:t>
      </w:r>
    </w:p>
    <w:p w14:paraId="63526862" w14:textId="77777777" w:rsidR="008169A9" w:rsidRDefault="008169A9">
      <w:pPr>
        <w:rPr>
          <w:rFonts w:ascii="Arial" w:hAnsi="Arial"/>
        </w:rPr>
      </w:pPr>
    </w:p>
    <w:p w14:paraId="77B90DA6" w14:textId="114D80A2" w:rsidR="008169A9" w:rsidRDefault="008169A9">
      <w:pPr>
        <w:rPr>
          <w:rFonts w:ascii="Arial" w:hAnsi="Arial"/>
        </w:rPr>
      </w:pPr>
      <w:r>
        <w:rPr>
          <w:rFonts w:ascii="Arial" w:hAnsi="Arial"/>
        </w:rPr>
        <w:t>**Argumentos de peso:**</w:t>
      </w:r>
    </w:p>
    <w:p w14:paraId="44C69A1D" w14:textId="121331B7" w:rsidR="008169A9" w:rsidRDefault="008169A9">
      <w:pPr>
        <w:rPr>
          <w:rFonts w:ascii="Arial" w:hAnsi="Arial"/>
        </w:rPr>
      </w:pPr>
      <w:r>
        <w:rPr>
          <w:rFonts w:ascii="Arial" w:hAnsi="Arial"/>
        </w:rPr>
        <w:t>- Viola el **Artículo 1° Constitucional** (igualdad y no discriminación entre IMSS e ISSSTE).</w:t>
      </w:r>
    </w:p>
    <w:p w14:paraId="594C9CC9" w14:textId="6B27B591" w:rsidR="008169A9" w:rsidRDefault="008169A9">
      <w:pPr>
        <w:rPr>
          <w:rFonts w:ascii="Arial" w:hAnsi="Arial"/>
        </w:rPr>
      </w:pPr>
      <w:r>
        <w:rPr>
          <w:rFonts w:ascii="Arial" w:hAnsi="Arial"/>
        </w:rPr>
        <w:t>- Viola el principio de **progresividad de los derechos humanos** (Art. 1° CPEUM): Un sistema de pensiones no puede retroceder.</w:t>
      </w:r>
    </w:p>
    <w:p w14:paraId="1825A74E" w14:textId="7790110E" w:rsidR="008169A9" w:rsidRDefault="008169A9">
      <w:pPr>
        <w:rPr>
          <w:rFonts w:ascii="Arial" w:hAnsi="Arial"/>
        </w:rPr>
      </w:pPr>
      <w:r>
        <w:rPr>
          <w:rFonts w:ascii="Arial" w:hAnsi="Arial"/>
        </w:rPr>
        <w:t>- Los estudios actuariales demuestran que el tope de 10 UMAs fomenta la **fuga de talentos**, devalúa la profesión docente y genera un sistema de retiro de miseria para quienes dedicaron 30+ años al servicio del Estado.</w:t>
      </w:r>
    </w:p>
    <w:p w14:paraId="1A5026E9" w14:textId="0FF16BD3" w:rsidR="008169A9" w:rsidRDefault="008169A9">
      <w:pPr>
        <w:rPr>
          <w:rFonts w:ascii="Arial" w:hAnsi="Arial"/>
        </w:rPr>
      </w:pPr>
      <w:r>
        <w:rPr>
          <w:rFonts w:ascii="Arial" w:hAnsi="Arial"/>
        </w:rPr>
        <w:t>- **Argumento político de oro:** Si el gobierno federal (a través del IMSS) puede proteger a los trabajadores privados con 25 UMAs, tiene la obligación moral y constitucional de hacer lo mismo para sus propios servidores públicos.</w:t>
      </w:r>
    </w:p>
    <w:p w14:paraId="243CACA7" w14:textId="77777777" w:rsidR="008169A9" w:rsidRDefault="008169A9">
      <w:pPr>
        <w:rPr>
          <w:rFonts w:ascii="Arial" w:hAnsi="Arial"/>
        </w:rPr>
      </w:pPr>
    </w:p>
    <w:p w14:paraId="27CAAF88" w14:textId="25BCC614" w:rsidR="008169A9" w:rsidRDefault="008169A9">
      <w:pPr>
        <w:rPr>
          <w:rFonts w:ascii="Arial" w:hAnsi="Arial"/>
        </w:rPr>
      </w:pPr>
      <w:r>
        <w:rPr>
          <w:rFonts w:ascii="Arial" w:hAnsi="Arial"/>
        </w:rPr>
        <w:t>*Esta ruta se alinea perfectamente con las exigencias estructurales ya planteadas en la PIP y los documentos presentados en San Lázaro y el Senado.*</w:t>
      </w:r>
    </w:p>
    <w:p w14:paraId="035CE943" w14:textId="77777777" w:rsidR="008169A9" w:rsidRDefault="008169A9">
      <w:pPr>
        <w:rPr>
          <w:rFonts w:ascii="Arial" w:hAnsi="Arial"/>
        </w:rPr>
      </w:pPr>
    </w:p>
    <w:p w14:paraId="635855E9" w14:textId="4EE4AC87" w:rsidR="008169A9" w:rsidRDefault="008169A9">
      <w:pPr>
        <w:rPr>
          <w:rFonts w:ascii="Arial" w:hAnsi="Arial"/>
        </w:rPr>
      </w:pPr>
      <w:r>
        <w:rPr>
          <w:rFonts w:ascii="Arial" w:hAnsi="Arial"/>
        </w:rPr>
        <w:t>### B. Vía Jurídica — Litigio Estratégico Colectivo</w:t>
      </w:r>
    </w:p>
    <w:p w14:paraId="76E5E8F4" w14:textId="6D26CA14" w:rsidR="008169A9" w:rsidRDefault="008169A9">
      <w:pPr>
        <w:rPr>
          <w:rFonts w:ascii="Arial" w:hAnsi="Arial"/>
        </w:rPr>
      </w:pPr>
      <w:r>
        <w:rPr>
          <w:rFonts w:ascii="Arial" w:hAnsi="Arial"/>
        </w:rPr>
        <w:t>No el amparo individual (que tiene baja tasa de éxito), sino una estrategia de litigio de alto impacto:</w:t>
      </w:r>
    </w:p>
    <w:p w14:paraId="5C6A89D2" w14:textId="77777777" w:rsidR="008169A9" w:rsidRDefault="008169A9">
      <w:pPr>
        <w:rPr>
          <w:rFonts w:ascii="Arial" w:hAnsi="Arial"/>
        </w:rPr>
      </w:pPr>
    </w:p>
    <w:p w14:paraId="00638DA6" w14:textId="063DD76D" w:rsidR="008169A9" w:rsidRDefault="008169A9">
      <w:pPr>
        <w:rPr>
          <w:rFonts w:ascii="Arial" w:hAnsi="Arial"/>
        </w:rPr>
      </w:pPr>
      <w:r>
        <w:rPr>
          <w:rFonts w:ascii="Arial" w:hAnsi="Arial"/>
        </w:rPr>
        <w:t>**Acciones:**</w:t>
      </w:r>
    </w:p>
    <w:p w14:paraId="38D0C8C1" w14:textId="3CB2557D" w:rsidR="008169A9" w:rsidRDefault="008169A9">
      <w:pPr>
        <w:rPr>
          <w:rFonts w:ascii="Arial" w:hAnsi="Arial"/>
        </w:rPr>
      </w:pPr>
      <w:r>
        <w:rPr>
          <w:rFonts w:ascii="Arial" w:hAnsi="Arial"/>
        </w:rPr>
        <w:t>1. **Identificar los casos con mayor solidez jurídica:** Maestros con sentencias ejecutorias anteriores a 2016 (derecho adquirido antes de la reforma constitucional de la UMA). Estos casos tienen probabilidades reales de éxito.</w:t>
      </w:r>
    </w:p>
    <w:p w14:paraId="61596816" w14:textId="5E40B906" w:rsidR="008169A9" w:rsidRDefault="008169A9">
      <w:pPr>
        <w:rPr>
          <w:rFonts w:ascii="Arial" w:hAnsi="Arial"/>
        </w:rPr>
      </w:pPr>
      <w:r>
        <w:rPr>
          <w:rFonts w:ascii="Arial" w:hAnsi="Arial"/>
        </w:rPr>
        <w:t>2. **Acción colectiva ante el Pleno de la SCJN:** Promover que el tema sea atraído por el Pleno (no solo la Segunda Sala) para que se emita un criterio que incorpore el principio pro persona y la naturaleza alimentaria de la pensión. Un fallo del Pleno desplaza la jurisprudencia de las Salas.</w:t>
      </w:r>
    </w:p>
    <w:p w14:paraId="4C961419" w14:textId="348DD32E" w:rsidR="008169A9" w:rsidRDefault="008169A9">
      <w:pPr>
        <w:rPr>
          <w:rFonts w:ascii="Arial" w:hAnsi="Arial"/>
        </w:rPr>
      </w:pPr>
      <w:r>
        <w:rPr>
          <w:rFonts w:ascii="Arial" w:hAnsi="Arial"/>
        </w:rPr>
        <w:lastRenderedPageBreak/>
        <w:t>3. **Argumento de desigualdad sistémica:** Presentar ante el Poder Judicial evidencia de la brecha IMSS-ISSSTE como argumento de discriminación estructural que requiere resolución del Pleno.</w:t>
      </w:r>
    </w:p>
    <w:p w14:paraId="45A37862" w14:textId="77777777" w:rsidR="008169A9" w:rsidRDefault="008169A9">
      <w:pPr>
        <w:rPr>
          <w:rFonts w:ascii="Arial" w:hAnsi="Arial"/>
        </w:rPr>
      </w:pPr>
    </w:p>
    <w:p w14:paraId="71DB4166" w14:textId="0368D1A8" w:rsidR="008169A9" w:rsidRDefault="008169A9">
      <w:pPr>
        <w:rPr>
          <w:rFonts w:ascii="Arial" w:hAnsi="Arial"/>
        </w:rPr>
      </w:pPr>
      <w:r>
        <w:rPr>
          <w:rFonts w:ascii="Arial" w:hAnsi="Arial"/>
        </w:rPr>
        <w:t>### C. Vía Política — Presión y Negociación Institucional</w:t>
      </w:r>
    </w:p>
    <w:p w14:paraId="14CA50C4" w14:textId="30892321" w:rsidR="008169A9" w:rsidRDefault="008169A9">
      <w:pPr>
        <w:rPr>
          <w:rFonts w:ascii="Arial" w:hAnsi="Arial"/>
        </w:rPr>
      </w:pPr>
      <w:r>
        <w:rPr>
          <w:rFonts w:ascii="Arial" w:hAnsi="Arial"/>
        </w:rPr>
        <w:t>La palanca política es igual de importante que la jurídica:</w:t>
      </w:r>
    </w:p>
    <w:p w14:paraId="0B93B8D7" w14:textId="77777777" w:rsidR="008169A9" w:rsidRDefault="008169A9">
      <w:pPr>
        <w:rPr>
          <w:rFonts w:ascii="Arial" w:hAnsi="Arial"/>
        </w:rPr>
      </w:pPr>
    </w:p>
    <w:p w14:paraId="11C2ACF8" w14:textId="74726987" w:rsidR="008169A9" w:rsidRDefault="008169A9">
      <w:pPr>
        <w:rPr>
          <w:rFonts w:ascii="Arial" w:hAnsi="Arial"/>
        </w:rPr>
      </w:pPr>
      <w:r>
        <w:rPr>
          <w:rFonts w:ascii="Arial" w:hAnsi="Arial"/>
        </w:rPr>
        <w:t>- **Posicionar la demanda de las 25 UMAs** como el pilar central de las mesas de trabajo post-mayo 2026 con la SEP y la Presidencia.</w:t>
      </w:r>
    </w:p>
    <w:p w14:paraId="1E41C54C" w14:textId="5C3AA683" w:rsidR="008169A9" w:rsidRDefault="008169A9">
      <w:pPr>
        <w:rPr>
          <w:rFonts w:ascii="Arial" w:hAnsi="Arial"/>
        </w:rPr>
      </w:pPr>
      <w:r>
        <w:rPr>
          <w:rFonts w:ascii="Arial" w:hAnsi="Arial"/>
        </w:rPr>
        <w:t>- **Exhibir la doble moral institucional:** *"25 UMAs para el privado, 10 UMAs para el maestro. Ese es el México que el gobierno federal les ofrece a los educadores."*</w:t>
      </w:r>
    </w:p>
    <w:p w14:paraId="589E1471" w14:textId="43831FC6" w:rsidR="008169A9" w:rsidRDefault="008169A9">
      <w:pPr>
        <w:rPr>
          <w:rFonts w:ascii="Arial" w:hAnsi="Arial"/>
        </w:rPr>
      </w:pPr>
      <w:r>
        <w:rPr>
          <w:rFonts w:ascii="Arial" w:hAnsi="Arial"/>
        </w:rPr>
        <w:t>- **Coordinar con representaciones nacionales** para que en la próxima miscelánea de reformas al ISSSTE, el techo de las 25 UMAs sea una condición innegociable.</w:t>
      </w:r>
    </w:p>
    <w:p w14:paraId="37AA3C56" w14:textId="18D98F27" w:rsidR="008169A9" w:rsidRDefault="008169A9">
      <w:pPr>
        <w:rPr>
          <w:rFonts w:ascii="Arial" w:hAnsi="Arial"/>
        </w:rPr>
      </w:pPr>
      <w:r>
        <w:rPr>
          <w:rFonts w:ascii="Arial" w:hAnsi="Arial"/>
        </w:rPr>
        <w:t>- **Usar el precedente de Zoé Robledo:** Si el Director del IMSS pudo emitir un acuerdo de Consejo Técnico para proteger a sus pensionados, ¿por qué el Director del ISSSTE no puede hacer lo mismo? Esa pregunta debe hacerse públicamente y en medios.</w:t>
      </w:r>
    </w:p>
    <w:p w14:paraId="06C83082" w14:textId="77777777" w:rsidR="008169A9" w:rsidRDefault="008169A9">
      <w:pPr>
        <w:rPr>
          <w:rFonts w:ascii="Arial" w:hAnsi="Arial"/>
        </w:rPr>
      </w:pPr>
    </w:p>
    <w:p w14:paraId="2E1E9079" w14:textId="659948A6" w:rsidR="008169A9" w:rsidRDefault="008169A9">
      <w:pPr>
        <w:rPr>
          <w:rFonts w:ascii="Arial" w:hAnsi="Arial"/>
        </w:rPr>
      </w:pPr>
      <w:r>
        <w:rPr>
          <w:rFonts w:ascii="Arial" w:hAnsi="Arial"/>
        </w:rPr>
        <w:t>---</w:t>
      </w:r>
    </w:p>
    <w:p w14:paraId="39CD4CA3" w14:textId="77777777" w:rsidR="008169A9" w:rsidRDefault="008169A9">
      <w:pPr>
        <w:rPr>
          <w:rFonts w:ascii="Arial" w:hAnsi="Arial"/>
        </w:rPr>
      </w:pPr>
    </w:p>
    <w:p w14:paraId="2916EEC0" w14:textId="6FD1F6CA" w:rsidR="008169A9" w:rsidRDefault="008169A9">
      <w:pPr>
        <w:rPr>
          <w:rFonts w:ascii="Arial" w:hAnsi="Arial"/>
          <w:b/>
          <w:sz w:val="28"/>
        </w:rPr>
      </w:pPr>
      <w:r>
        <w:rPr>
          <w:rFonts w:ascii="Arial" w:hAnsi="Arial"/>
          <w:b/>
          <w:sz w:val="28"/>
        </w:rPr>
        <w:t>6. Tabla de Impacto: Lo que Significan las 25 UMAs para el Maestro</w:t>
      </w:r>
    </w:p>
    <w:p w14:paraId="3F54FA72" w14:textId="77777777" w:rsidR="008169A9" w:rsidRDefault="008169A9">
      <w:pPr>
        <w:rPr>
          <w:rFonts w:ascii="Arial" w:hAnsi="Arial"/>
        </w:rPr>
      </w:pPr>
    </w:p>
    <w:p w14:paraId="61F45535" w14:textId="7575BB73" w:rsidR="008169A9" w:rsidRDefault="008169A9">
      <w:pPr>
        <w:rPr>
          <w:rFonts w:ascii="Arial" w:hAnsi="Arial"/>
        </w:rPr>
      </w:pPr>
      <w:r>
        <w:rPr>
          <w:rFonts w:ascii="Arial" w:hAnsi="Arial"/>
        </w:rPr>
        <w:t>| Escenario | Monto Mensual 2026 | Diferencia vs. 10 UMAs |</w:t>
      </w:r>
    </w:p>
    <w:p w14:paraId="1B912F62" w14:textId="2BD37182" w:rsidR="008169A9" w:rsidRDefault="008169A9">
      <w:pPr>
        <w:rPr>
          <w:rFonts w:ascii="Arial" w:hAnsi="Arial"/>
        </w:rPr>
      </w:pPr>
      <w:r>
        <w:rPr>
          <w:rFonts w:ascii="Arial" w:hAnsi="Arial"/>
        </w:rPr>
        <w:t>|---|---|---|</w:t>
      </w:r>
    </w:p>
    <w:p w14:paraId="132DCB40" w14:textId="5EDB0D9F" w:rsidR="008169A9" w:rsidRDefault="008169A9">
      <w:pPr>
        <w:rPr>
          <w:rFonts w:ascii="Arial" w:hAnsi="Arial"/>
        </w:rPr>
      </w:pPr>
      <w:r>
        <w:rPr>
          <w:rFonts w:ascii="Arial" w:hAnsi="Arial"/>
        </w:rPr>
        <w:t>| Tope actual ISSSTE (10 UMAs) | $35,193.00 | — |</w:t>
      </w:r>
    </w:p>
    <w:p w14:paraId="5011043A" w14:textId="37DC06C7" w:rsidR="008169A9" w:rsidRDefault="008169A9">
      <w:pPr>
        <w:rPr>
          <w:rFonts w:ascii="Arial" w:hAnsi="Arial"/>
        </w:rPr>
      </w:pPr>
      <w:r>
        <w:rPr>
          <w:rFonts w:ascii="Arial" w:hAnsi="Arial"/>
        </w:rPr>
        <w:t>| Meta mínima exigida (15 UMAs) | $52,789.50 | +$17,596.50 |</w:t>
      </w:r>
    </w:p>
    <w:p w14:paraId="147A2556" w14:textId="2CF72371" w:rsidR="008169A9" w:rsidRDefault="008169A9">
      <w:pPr>
        <w:rPr>
          <w:rFonts w:ascii="Arial" w:hAnsi="Arial"/>
        </w:rPr>
      </w:pPr>
      <w:r>
        <w:rPr>
          <w:rFonts w:ascii="Arial" w:hAnsi="Arial"/>
        </w:rPr>
        <w:t>| Paridad con IMSS (25 UMAs) | **$89,155.50** | **+$53,962.50** |</w:t>
      </w:r>
    </w:p>
    <w:p w14:paraId="40897FE3" w14:textId="77777777" w:rsidR="008169A9" w:rsidRDefault="008169A9">
      <w:pPr>
        <w:rPr>
          <w:rFonts w:ascii="Arial" w:hAnsi="Arial"/>
        </w:rPr>
      </w:pPr>
    </w:p>
    <w:p w14:paraId="6193EA71" w14:textId="4CD0E23C" w:rsidR="008169A9" w:rsidRDefault="008169A9">
      <w:pPr>
        <w:rPr>
          <w:rFonts w:ascii="Arial" w:hAnsi="Arial"/>
        </w:rPr>
      </w:pPr>
      <w:r>
        <w:rPr>
          <w:rFonts w:ascii="Arial" w:hAnsi="Arial"/>
        </w:rPr>
        <w:t>&gt; **Impacto real:** Un maestro federalizado que logró la equiparación a 25 UMAs recibiría **$53,962.50 pesos más al mes** que uno atrapado en el tope actual. En un año, eso representa **$647,550 pesos adicionales** en su retiro. Esa es la magnitud de la injusticia que se está combatiendo.</w:t>
      </w:r>
    </w:p>
    <w:p w14:paraId="5472678B" w14:textId="77777777" w:rsidR="008169A9" w:rsidRDefault="008169A9">
      <w:pPr>
        <w:rPr>
          <w:rFonts w:ascii="Arial" w:hAnsi="Arial"/>
        </w:rPr>
      </w:pPr>
    </w:p>
    <w:p w14:paraId="169700EC" w14:textId="3A0B0EBD" w:rsidR="008169A9" w:rsidRDefault="008169A9">
      <w:pPr>
        <w:rPr>
          <w:rFonts w:ascii="Arial" w:hAnsi="Arial"/>
        </w:rPr>
      </w:pPr>
      <w:r>
        <w:rPr>
          <w:rFonts w:ascii="Arial" w:hAnsi="Arial"/>
        </w:rPr>
        <w:t>---</w:t>
      </w:r>
    </w:p>
    <w:p w14:paraId="427047E1" w14:textId="77777777" w:rsidR="008169A9" w:rsidRDefault="008169A9">
      <w:pPr>
        <w:rPr>
          <w:rFonts w:ascii="Arial" w:hAnsi="Arial"/>
        </w:rPr>
      </w:pPr>
    </w:p>
    <w:p w14:paraId="6E4E529B" w14:textId="4DC3EC15" w:rsidR="008169A9" w:rsidRDefault="008169A9">
      <w:pPr>
        <w:rPr>
          <w:rFonts w:ascii="Arial" w:hAnsi="Arial"/>
          <w:b/>
          <w:sz w:val="28"/>
        </w:rPr>
      </w:pPr>
      <w:r>
        <w:rPr>
          <w:rFonts w:ascii="Arial" w:hAnsi="Arial"/>
          <w:b/>
          <w:sz w:val="28"/>
        </w:rPr>
        <w:t>7. Síntesis Táctica para el Profe Gonzalo</w:t>
      </w:r>
    </w:p>
    <w:p w14:paraId="1B25D63F" w14:textId="77777777" w:rsidR="008169A9" w:rsidRDefault="008169A9">
      <w:pPr>
        <w:rPr>
          <w:rFonts w:ascii="Arial" w:hAnsi="Arial"/>
        </w:rPr>
      </w:pPr>
    </w:p>
    <w:p w14:paraId="2786C08F" w14:textId="7795FA26" w:rsidR="008169A9" w:rsidRDefault="008169A9">
      <w:pPr>
        <w:rPr>
          <w:rFonts w:ascii="Arial" w:hAnsi="Arial"/>
        </w:rPr>
      </w:pPr>
      <w:r>
        <w:rPr>
          <w:rFonts w:ascii="Arial" w:hAnsi="Arial"/>
        </w:rPr>
        <w:t>### Los 3 argumentos más poderosos para la mesa de trabajo:</w:t>
      </w:r>
    </w:p>
    <w:p w14:paraId="5A078460" w14:textId="77777777" w:rsidR="008169A9" w:rsidRDefault="008169A9">
      <w:pPr>
        <w:rPr>
          <w:rFonts w:ascii="Arial" w:hAnsi="Arial"/>
        </w:rPr>
      </w:pPr>
    </w:p>
    <w:p w14:paraId="36D9D375" w14:textId="5D91F21D" w:rsidR="008169A9" w:rsidRDefault="008169A9">
      <w:pPr>
        <w:rPr>
          <w:rFonts w:ascii="Arial" w:hAnsi="Arial"/>
        </w:rPr>
      </w:pPr>
      <w:r>
        <w:rPr>
          <w:rFonts w:ascii="Arial" w:hAnsi="Arial"/>
        </w:rPr>
        <w:t>**Argumento 1 — El de la Igualdad:**</w:t>
      </w:r>
    </w:p>
    <w:p w14:paraId="45C7A0DD" w14:textId="16730B77" w:rsidR="008169A9" w:rsidRDefault="008169A9">
      <w:pPr>
        <w:rPr>
          <w:rFonts w:ascii="Arial" w:hAnsi="Arial"/>
        </w:rPr>
      </w:pPr>
      <w:r>
        <w:rPr>
          <w:rFonts w:ascii="Arial" w:hAnsi="Arial"/>
        </w:rPr>
        <w:t>*"El mismo gobierno que le paga 25 UMAs al pensionado del IMSS le paga 10 UMAs al maestro del ISSSTE. Son ciudadanos del mismo México, con la misma Constitución. Eso no es política pública, eso es discriminación con sello oficial."*</w:t>
      </w:r>
    </w:p>
    <w:p w14:paraId="4266367A" w14:textId="77777777" w:rsidR="008169A9" w:rsidRDefault="008169A9">
      <w:pPr>
        <w:rPr>
          <w:rFonts w:ascii="Arial" w:hAnsi="Arial"/>
        </w:rPr>
      </w:pPr>
    </w:p>
    <w:p w14:paraId="76D1B376" w14:textId="65DE9F70" w:rsidR="008169A9" w:rsidRDefault="008169A9">
      <w:pPr>
        <w:rPr>
          <w:rFonts w:ascii="Arial" w:hAnsi="Arial"/>
        </w:rPr>
      </w:pPr>
      <w:r>
        <w:rPr>
          <w:rFonts w:ascii="Arial" w:hAnsi="Arial"/>
        </w:rPr>
        <w:t>**Argumento 2 — El del Precedente:**</w:t>
      </w:r>
    </w:p>
    <w:p w14:paraId="587CBFE5" w14:textId="1336702A" w:rsidR="008169A9" w:rsidRDefault="008169A9">
      <w:pPr>
        <w:rPr>
          <w:rFonts w:ascii="Arial" w:hAnsi="Arial"/>
        </w:rPr>
      </w:pPr>
      <w:r>
        <w:rPr>
          <w:rFonts w:ascii="Arial" w:hAnsi="Arial"/>
        </w:rPr>
        <w:t>*"Zoé Robledo, cuando era Director del IMSS, emitió un acuerdo de Consejo Técnico para no aplicar el tope restrictivo de la Suprema Corte y proteger a los trabajadores privados. Le pedimos al Director del ISSSTE que tenga el mismo valor institucional para proteger a los maestros de México."*</w:t>
      </w:r>
    </w:p>
    <w:p w14:paraId="17C70444" w14:textId="77777777" w:rsidR="008169A9" w:rsidRDefault="008169A9">
      <w:pPr>
        <w:rPr>
          <w:rFonts w:ascii="Arial" w:hAnsi="Arial"/>
        </w:rPr>
      </w:pPr>
    </w:p>
    <w:p w14:paraId="70750BB9" w14:textId="554F99B0" w:rsidR="008169A9" w:rsidRDefault="008169A9">
      <w:pPr>
        <w:rPr>
          <w:rFonts w:ascii="Arial" w:hAnsi="Arial"/>
        </w:rPr>
      </w:pPr>
      <w:r>
        <w:rPr>
          <w:rFonts w:ascii="Arial" w:hAnsi="Arial"/>
        </w:rPr>
        <w:t>**Argumento 3 — El de la Reforma:**</w:t>
      </w:r>
    </w:p>
    <w:p w14:paraId="33262504" w14:textId="5966D468" w:rsidR="008169A9" w:rsidRDefault="008169A9">
      <w:pPr>
        <w:rPr>
          <w:rFonts w:ascii="Arial" w:hAnsi="Arial"/>
        </w:rPr>
      </w:pPr>
      <w:r>
        <w:rPr>
          <w:rFonts w:ascii="Arial" w:hAnsi="Arial"/>
        </w:rPr>
        <w:t>*"No pedimos lo imposible. Solo pedimos que el Artículo Décimo Transitorio diga lo mismo que el Artículo 28 de la Ley del Seguro Social. Un párrafo de reforma legislativa que vale $53,962 pesos al mes para cada maestro jubilado."*</w:t>
      </w:r>
    </w:p>
    <w:p w14:paraId="76CE79F0" w14:textId="77777777" w:rsidR="008169A9" w:rsidRDefault="008169A9">
      <w:pPr>
        <w:rPr>
          <w:rFonts w:ascii="Arial" w:hAnsi="Arial"/>
        </w:rPr>
      </w:pPr>
    </w:p>
    <w:p w14:paraId="3CDC82B4" w14:textId="728EFA45" w:rsidR="008169A9" w:rsidRDefault="008169A9">
      <w:pPr>
        <w:rPr>
          <w:rFonts w:ascii="Arial" w:hAnsi="Arial"/>
        </w:rPr>
      </w:pPr>
      <w:r>
        <w:rPr>
          <w:rFonts w:ascii="Arial" w:hAnsi="Arial"/>
        </w:rPr>
        <w:t>---</w:t>
      </w:r>
    </w:p>
    <w:p w14:paraId="6F58D8EF" w14:textId="77777777" w:rsidR="008169A9" w:rsidRDefault="008169A9">
      <w:pPr>
        <w:rPr>
          <w:rFonts w:ascii="Arial" w:hAnsi="Arial"/>
        </w:rPr>
      </w:pPr>
    </w:p>
    <w:p w14:paraId="63A54A58" w14:textId="57220342" w:rsidR="008169A9" w:rsidRDefault="008169A9">
      <w:pPr>
        <w:rPr>
          <w:rFonts w:ascii="Arial" w:hAnsi="Arial"/>
          <w:b/>
          <w:sz w:val="28"/>
        </w:rPr>
      </w:pPr>
      <w:r>
        <w:rPr>
          <w:rFonts w:ascii="Arial" w:hAnsi="Arial"/>
          <w:b/>
          <w:sz w:val="28"/>
        </w:rPr>
        <w:t>8. Fuentes y Respaldo Jurídico</w:t>
      </w:r>
    </w:p>
    <w:p w14:paraId="1916FD2E" w14:textId="77777777" w:rsidR="008169A9" w:rsidRDefault="008169A9">
      <w:pPr>
        <w:rPr>
          <w:rFonts w:ascii="Arial" w:hAnsi="Arial"/>
        </w:rPr>
      </w:pPr>
    </w:p>
    <w:p w14:paraId="4CED6E30" w14:textId="4BA9155B" w:rsidR="008169A9" w:rsidRDefault="008169A9">
      <w:pPr>
        <w:rPr>
          <w:rFonts w:ascii="Arial" w:hAnsi="Arial"/>
        </w:rPr>
      </w:pPr>
      <w:r>
        <w:rPr>
          <w:rFonts w:ascii="Arial" w:hAnsi="Arial"/>
        </w:rPr>
        <w:t>| Instrumento | Descripción |</w:t>
      </w:r>
    </w:p>
    <w:p w14:paraId="4C27D351" w14:textId="2EE2B054" w:rsidR="008169A9" w:rsidRDefault="008169A9">
      <w:pPr>
        <w:rPr>
          <w:rFonts w:ascii="Arial" w:hAnsi="Arial"/>
        </w:rPr>
      </w:pPr>
      <w:r>
        <w:rPr>
          <w:rFonts w:ascii="Arial" w:hAnsi="Arial"/>
        </w:rPr>
        <w:t>|---|---|</w:t>
      </w:r>
    </w:p>
    <w:p w14:paraId="361252AA" w14:textId="77FA0192" w:rsidR="008169A9" w:rsidRDefault="008169A9">
      <w:pPr>
        <w:rPr>
          <w:rFonts w:ascii="Arial" w:hAnsi="Arial"/>
        </w:rPr>
      </w:pPr>
      <w:r>
        <w:rPr>
          <w:rFonts w:ascii="Arial" w:hAnsi="Arial"/>
        </w:rPr>
        <w:t>| Art. 1° CPEUM | Principio de igualdad y no discriminación |</w:t>
      </w:r>
    </w:p>
    <w:p w14:paraId="28580BE6" w14:textId="54CD2BC1" w:rsidR="008169A9" w:rsidRDefault="008169A9">
      <w:pPr>
        <w:rPr>
          <w:rFonts w:ascii="Arial" w:hAnsi="Arial"/>
        </w:rPr>
      </w:pPr>
      <w:r>
        <w:rPr>
          <w:rFonts w:ascii="Arial" w:hAnsi="Arial"/>
        </w:rPr>
        <w:t>| Art. Décimo Transitorio LISSSTE 2007 | Tope de 10 UMAs — El candado legal |</w:t>
      </w:r>
    </w:p>
    <w:p w14:paraId="4F3DF8A4" w14:textId="1778826C" w:rsidR="008169A9" w:rsidRDefault="008169A9">
      <w:pPr>
        <w:rPr>
          <w:rFonts w:ascii="Arial" w:hAnsi="Arial"/>
        </w:rPr>
      </w:pPr>
      <w:r>
        <w:rPr>
          <w:rFonts w:ascii="Arial" w:hAnsi="Arial"/>
        </w:rPr>
        <w:t>| Art. 28 LSS 1997 | Tope de 25 UMAs del IMSS — El modelo |</w:t>
      </w:r>
    </w:p>
    <w:p w14:paraId="24C9C143" w14:textId="6B07E694" w:rsidR="008169A9" w:rsidRDefault="008169A9">
      <w:pPr>
        <w:rPr>
          <w:rFonts w:ascii="Arial" w:hAnsi="Arial"/>
        </w:rPr>
      </w:pPr>
      <w:r>
        <w:rPr>
          <w:rFonts w:ascii="Arial" w:hAnsi="Arial"/>
        </w:rPr>
        <w:t>| SCJN 2a./J. 30/2021 | Jurisprudencia que ratifica el 10 UMAs |</w:t>
      </w:r>
    </w:p>
    <w:p w14:paraId="23A998E2" w14:textId="3C5AD963" w:rsidR="008169A9" w:rsidRDefault="008169A9">
      <w:pPr>
        <w:rPr>
          <w:rFonts w:ascii="Arial" w:hAnsi="Arial"/>
        </w:rPr>
      </w:pPr>
      <w:r>
        <w:rPr>
          <w:rFonts w:ascii="Arial" w:hAnsi="Arial"/>
        </w:rPr>
        <w:t>| SCJN 2a./J. 37/2022 | Ratificación en 11a. Época |</w:t>
      </w:r>
    </w:p>
    <w:p w14:paraId="6D645D01" w14:textId="3E50E646" w:rsidR="008169A9" w:rsidRDefault="008169A9">
      <w:pPr>
        <w:rPr>
          <w:rFonts w:ascii="Arial" w:hAnsi="Arial"/>
        </w:rPr>
      </w:pPr>
      <w:r>
        <w:rPr>
          <w:rFonts w:ascii="Arial" w:hAnsi="Arial"/>
        </w:rPr>
        <w:t>| Acuerdo CT-IMSS (Zoé Robledo) | El precedente político-administrativo |</w:t>
      </w:r>
    </w:p>
    <w:p w14:paraId="2C554827" w14:textId="5EBDC22E" w:rsidR="008169A9" w:rsidRDefault="008169A9">
      <w:pPr>
        <w:rPr>
          <w:rFonts w:ascii="Arial" w:hAnsi="Arial"/>
        </w:rPr>
      </w:pPr>
      <w:r>
        <w:rPr>
          <w:rFonts w:ascii="Arial" w:hAnsi="Arial"/>
        </w:rPr>
        <w:t>| Valores UMA 2026 (INEGI, vigentes desde 01/02/2026) | $117.31 diario / $3,566.22 mensual / $42,794.64 anual |</w:t>
      </w:r>
    </w:p>
    <w:p w14:paraId="18DEA937" w14:textId="77777777" w:rsidR="008169A9" w:rsidRDefault="008169A9">
      <w:pPr>
        <w:rPr>
          <w:rFonts w:ascii="Arial" w:hAnsi="Arial"/>
        </w:rPr>
      </w:pPr>
    </w:p>
    <w:p w14:paraId="117E90FE" w14:textId="3F8D249C" w:rsidR="008169A9" w:rsidRDefault="008169A9">
      <w:pPr>
        <w:rPr>
          <w:rFonts w:ascii="Arial" w:hAnsi="Arial"/>
        </w:rPr>
      </w:pPr>
      <w:r>
        <w:rPr>
          <w:rFonts w:ascii="Arial" w:hAnsi="Arial"/>
        </w:rPr>
        <w:t>---</w:t>
      </w:r>
    </w:p>
    <w:p w14:paraId="4B50E006" w14:textId="77777777" w:rsidR="008169A9" w:rsidRDefault="008169A9">
      <w:pPr>
        <w:rPr>
          <w:rFonts w:ascii="Arial" w:hAnsi="Arial"/>
        </w:rPr>
      </w:pPr>
    </w:p>
    <w:p w14:paraId="70D0F878" w14:textId="1BD90BB5" w:rsidR="008169A9" w:rsidRDefault="008169A9">
      <w:pPr>
        <w:rPr>
          <w:rFonts w:ascii="Arial" w:hAnsi="Arial"/>
        </w:rPr>
      </w:pPr>
      <w:r>
        <w:rPr>
          <w:rFonts w:ascii="Arial" w:hAnsi="Arial"/>
        </w:rPr>
        <w:t>*Dossier generado y actualizado por el equipo de inteligencia táctica del Magisterio Sonorense.*</w:t>
      </w:r>
    </w:p>
    <w:p w14:paraId="3264E7BA" w14:textId="641A92B9" w:rsidR="008169A9" w:rsidRDefault="008169A9">
      <w:pPr>
        <w:rPr>
          <w:rFonts w:ascii="Arial" w:hAnsi="Arial"/>
        </w:rPr>
      </w:pPr>
      <w:r>
        <w:rPr>
          <w:rFonts w:ascii="Arial" w:hAnsi="Arial"/>
        </w:rPr>
        <w:t>*Versión 2.0 — Mayo 2026 | Para uso interno de coordinaciones regionales.*</w:t>
      </w:r>
    </w:p>
    <w:p w14:paraId="288E8A1F" w14:textId="77777777" w:rsidR="008169A9" w:rsidRDefault="008169A9">
      <w:pPr>
        <w:rPr>
          <w:rFonts w:ascii="Arial" w:hAnsi="Arial"/>
        </w:rPr>
      </w:pPr>
    </w:p>
    <w:p w14:paraId="0F943C57" w14:textId="77777777" w:rsidR="008169A9" w:rsidRPr="008169A9" w:rsidRDefault="008169A9">
      <w:pPr>
        <w:rPr>
          <w:rFonts w:ascii="Arial" w:hAnsi="Arial"/>
        </w:rPr>
      </w:pPr>
    </w:p>
    <w:sectPr w:rsidR="008169A9" w:rsidRPr="008169A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A9"/>
    <w:rsid w:val="008169A9"/>
    <w:rsid w:val="00AB45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805B"/>
  <w15:chartTrackingRefBased/>
  <w15:docId w15:val="{381FA049-30D8-4553-B91D-E8FE97D0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6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6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69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69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69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69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69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69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69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69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69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69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69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69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69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69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69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69A9"/>
    <w:rPr>
      <w:rFonts w:eastAsiaTheme="majorEastAsia" w:cstheme="majorBidi"/>
      <w:color w:val="272727" w:themeColor="text1" w:themeTint="D8"/>
    </w:rPr>
  </w:style>
  <w:style w:type="paragraph" w:styleId="Ttulo">
    <w:name w:val="Title"/>
    <w:basedOn w:val="Normal"/>
    <w:next w:val="Normal"/>
    <w:link w:val="TtuloCar"/>
    <w:uiPriority w:val="10"/>
    <w:qFormat/>
    <w:rsid w:val="00816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69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69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69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69A9"/>
    <w:pPr>
      <w:spacing w:before="160"/>
      <w:jc w:val="center"/>
    </w:pPr>
    <w:rPr>
      <w:i/>
      <w:iCs/>
      <w:color w:val="404040" w:themeColor="text1" w:themeTint="BF"/>
    </w:rPr>
  </w:style>
  <w:style w:type="character" w:customStyle="1" w:styleId="CitaCar">
    <w:name w:val="Cita Car"/>
    <w:basedOn w:val="Fuentedeprrafopredeter"/>
    <w:link w:val="Cita"/>
    <w:uiPriority w:val="29"/>
    <w:rsid w:val="008169A9"/>
    <w:rPr>
      <w:i/>
      <w:iCs/>
      <w:color w:val="404040" w:themeColor="text1" w:themeTint="BF"/>
    </w:rPr>
  </w:style>
  <w:style w:type="paragraph" w:styleId="Prrafodelista">
    <w:name w:val="List Paragraph"/>
    <w:basedOn w:val="Normal"/>
    <w:uiPriority w:val="34"/>
    <w:qFormat/>
    <w:rsid w:val="008169A9"/>
    <w:pPr>
      <w:ind w:left="720"/>
      <w:contextualSpacing/>
    </w:pPr>
  </w:style>
  <w:style w:type="character" w:styleId="nfasisintenso">
    <w:name w:val="Intense Emphasis"/>
    <w:basedOn w:val="Fuentedeprrafopredeter"/>
    <w:uiPriority w:val="21"/>
    <w:qFormat/>
    <w:rsid w:val="008169A9"/>
    <w:rPr>
      <w:i/>
      <w:iCs/>
      <w:color w:val="0F4761" w:themeColor="accent1" w:themeShade="BF"/>
    </w:rPr>
  </w:style>
  <w:style w:type="paragraph" w:styleId="Citadestacada">
    <w:name w:val="Intense Quote"/>
    <w:basedOn w:val="Normal"/>
    <w:next w:val="Normal"/>
    <w:link w:val="CitadestacadaCar"/>
    <w:uiPriority w:val="30"/>
    <w:qFormat/>
    <w:rsid w:val="00816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69A9"/>
    <w:rPr>
      <w:i/>
      <w:iCs/>
      <w:color w:val="0F4761" w:themeColor="accent1" w:themeShade="BF"/>
    </w:rPr>
  </w:style>
  <w:style w:type="character" w:styleId="Referenciaintensa">
    <w:name w:val="Intense Reference"/>
    <w:basedOn w:val="Fuentedeprrafopredeter"/>
    <w:uiPriority w:val="32"/>
    <w:qFormat/>
    <w:rsid w:val="008169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1888</Words>
  <Characters>10387</Characters>
  <Application>Microsoft Office Word</Application>
  <DocSecurity>0</DocSecurity>
  <Lines>86</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ALFONSO GALVEZ MARTINEZ</dc:creator>
  <cp:keywords/>
  <dc:description/>
  <cp:lastModifiedBy>JOSE  ALFONSO GALVEZ MARTINEZ</cp:lastModifiedBy>
  <cp:revision>1</cp:revision>
  <dcterms:created xsi:type="dcterms:W3CDTF">2026-05-04T17:33:00Z</dcterms:created>
  <dcterms:modified xsi:type="dcterms:W3CDTF">2026-05-04T17:33:00Z</dcterms:modified>
</cp:coreProperties>
</file>