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A6E"/>
          <w:sz w:val="32"/>
        </w:rPr>
        <w:t>REPORTE DE INTELIGENCIA ESTRATEGICA</w:t>
      </w:r>
    </w:p>
    <w:p>
      <w:pPr>
        <w:jc w:val="center"/>
      </w:pPr>
      <w:r>
        <w:rPr>
          <w:rFonts w:ascii="Arial" w:hAnsi="Arial"/>
          <w:b/>
          <w:color w:val="1F3A6E"/>
          <w:sz w:val="32"/>
        </w:rPr>
        <w:t>SECCION 54 DEL SNTE &amp; ISSSTESON</w:t>
      </w:r>
    </w:p>
    <w:p/>
    <w:p>
      <w:pPr>
        <w:jc w:val="center"/>
      </w:pPr>
      <w:r>
        <w:rPr>
          <w:rFonts w:ascii="Arial" w:hAnsi="Arial"/>
          <w:b/>
          <w:color w:val="2E5E8E"/>
          <w:sz w:val="26"/>
        </w:rPr>
        <w:t>Anatomia del sindicato estatal de Sonora y su sistema de pensiones</w:t>
      </w:r>
    </w:p>
    <w:p/>
    <w:p>
      <w:pPr>
        <w:jc w:val="center"/>
      </w:pPr>
      <w:r>
        <w:rPr>
          <w:rFonts w:ascii="Arial" w:hAnsi="Arial"/>
          <w:i/>
          <w:sz w:val="24"/>
        </w:rPr>
        <w:t>Para uso exclusivo del CORE del Magisterio Sonorense</w:t>
      </w:r>
    </w:p>
    <w:p/>
    <w:p>
      <w:r>
        <w:rPr>
          <w:rFonts w:ascii="Arial" w:hAnsi="Arial"/>
          <w:b/>
          <w:sz w:val="24"/>
        </w:rPr>
        <w:t xml:space="preserve">Clasificacion: </w:t>
      </w:r>
      <w:r>
        <w:rPr>
          <w:rFonts w:ascii="Arial" w:hAnsi="Arial"/>
          <w:sz w:val="24"/>
        </w:rPr>
        <w:t>Inteligencia estrategica — uso interno MS</w:t>
      </w:r>
    </w:p>
    <w:p>
      <w:r>
        <w:rPr>
          <w:rFonts w:ascii="Arial" w:hAnsi="Arial"/>
          <w:b/>
          <w:sz w:val="24"/>
        </w:rPr>
        <w:t xml:space="preserve">Fecha de analisis: </w:t>
      </w:r>
      <w:r>
        <w:rPr>
          <w:rFonts w:ascii="Arial" w:hAnsi="Arial"/>
          <w:sz w:val="24"/>
        </w:rPr>
        <w:t>4 de mayo de 2026</w:t>
      </w:r>
    </w:p>
    <w:p>
      <w:r>
        <w:rPr>
          <w:rFonts w:ascii="Arial" w:hAnsi="Arial"/>
          <w:b/>
          <w:sz w:val="24"/>
        </w:rPr>
        <w:t xml:space="preserve">Fuentes: </w:t>
      </w:r>
      <w:r>
        <w:rPr>
          <w:rFonts w:ascii="Arial" w:hAnsi="Arial"/>
          <w:sz w:val="24"/>
        </w:rPr>
        <w:t>snte54.com.mx, sonora.gob.mx (ISSSTESON), radiosonora.com.mx, oem.com.mx, elfinanciero.com.mx, staus.mx</w:t>
      </w:r>
    </w:p>
    <w:p>
      <w:r>
        <w:br w:type="page"/>
      </w:r>
    </w:p>
    <w:p>
      <w:r>
        <w:rPr>
          <w:rFonts w:ascii="Arial" w:hAnsi="Arial"/>
          <w:b/>
          <w:color w:val="1F3A6E"/>
          <w:sz w:val="28"/>
        </w:rPr>
        <w:t>PARTE I — FICHA DE IDENTIDAD: SECCION 54 DEL SNTE</w:t>
      </w:r>
    </w:p>
    <w:p/>
    <w:tbl>
      <w:tblPr>
        <w:tblStyle w:val="TableGrid"/>
        <w:tblW w:type="auto" w:w="0"/>
        <w:tblLook w:firstColumn="1" w:firstRow="1" w:lastColumn="0" w:lastRow="0" w:noHBand="0" w:noVBand="1" w:val="04A0"/>
      </w:tblPr>
      <w:tblGrid>
        <w:gridCol w:w="4320"/>
        <w:gridCol w:w="4320"/>
      </w:tblGrid>
      <w:tr>
        <w:tc>
          <w:tcPr>
            <w:tcW w:type="dxa" w:w="4320"/>
            <w:shd w:val="clear" w:color="auto" w:fill="1F3A6E"/>
          </w:tcPr>
          <w:p>
            <w:r>
              <w:rPr>
                <w:rFonts w:ascii="Arial" w:hAnsi="Arial"/>
                <w:b/>
                <w:color w:val="FFFFFF"/>
                <w:sz w:val="24"/>
              </w:rPr>
              <w:t>Campo</w:t>
            </w:r>
          </w:p>
        </w:tc>
        <w:tc>
          <w:tcPr>
            <w:tcW w:type="dxa" w:w="4320"/>
            <w:shd w:val="clear" w:color="auto" w:fill="1F3A6E"/>
          </w:tcPr>
          <w:p>
            <w:r>
              <w:rPr>
                <w:rFonts w:ascii="Arial" w:hAnsi="Arial"/>
                <w:b/>
                <w:color w:val="FFFFFF"/>
                <w:sz w:val="24"/>
              </w:rPr>
              <w:t>Dato</w:t>
            </w:r>
          </w:p>
        </w:tc>
      </w:tr>
      <w:tr>
        <w:tc>
          <w:tcPr>
            <w:tcW w:type="dxa" w:w="4320"/>
            <w:shd w:val="clear" w:color="auto" w:fill="F2F2F2"/>
          </w:tcPr>
          <w:p>
            <w:r>
              <w:rPr>
                <w:rFonts w:ascii="Arial" w:hAnsi="Arial"/>
                <w:b w:val="0"/>
                <w:sz w:val="22"/>
              </w:rPr>
              <w:t>Nombre oficial</w:t>
            </w:r>
          </w:p>
        </w:tc>
        <w:tc>
          <w:tcPr>
            <w:tcW w:type="dxa" w:w="4320"/>
            <w:shd w:val="clear" w:color="auto" w:fill="F2F2F2"/>
          </w:tcPr>
          <w:p>
            <w:r>
              <w:rPr>
                <w:rFonts w:ascii="Arial" w:hAnsi="Arial"/>
                <w:b w:val="0"/>
                <w:sz w:val="22"/>
              </w:rPr>
              <w:t>Seccion 54 del Sindicato Nacional de Trabajadores de la Educacion</w:t>
            </w:r>
          </w:p>
        </w:tc>
      </w:tr>
      <w:tr>
        <w:tc>
          <w:tcPr>
            <w:tcW w:type="dxa" w:w="4320"/>
            <w:shd w:val="clear" w:color="auto" w:fill="FFFFFF"/>
          </w:tcPr>
          <w:p>
            <w:r>
              <w:rPr>
                <w:rFonts w:ascii="Arial" w:hAnsi="Arial"/>
                <w:b w:val="0"/>
                <w:sz w:val="22"/>
              </w:rPr>
              <w:t>Tipo de trabajadores</w:t>
            </w:r>
          </w:p>
        </w:tc>
        <w:tc>
          <w:tcPr>
            <w:tcW w:type="dxa" w:w="4320"/>
            <w:shd w:val="clear" w:color="auto" w:fill="FFFFFF"/>
          </w:tcPr>
          <w:p>
            <w:r>
              <w:rPr>
                <w:rFonts w:ascii="Arial" w:hAnsi="Arial"/>
                <w:b w:val="0"/>
                <w:sz w:val="22"/>
              </w:rPr>
              <w:t>Maestros de plaza ESTATAL (pagados por el Gobierno del Estado de Sonora)</w:t>
            </w:r>
          </w:p>
        </w:tc>
      </w:tr>
      <w:tr>
        <w:tc>
          <w:tcPr>
            <w:tcW w:type="dxa" w:w="4320"/>
            <w:shd w:val="clear" w:color="auto" w:fill="F2F2F2"/>
          </w:tcPr>
          <w:p>
            <w:r>
              <w:rPr>
                <w:rFonts w:ascii="Arial" w:hAnsi="Arial"/>
                <w:b w:val="0"/>
                <w:sz w:val="22"/>
              </w:rPr>
              <w:t>Institucion de seguridad social</w:t>
            </w:r>
          </w:p>
        </w:tc>
        <w:tc>
          <w:tcPr>
            <w:tcW w:type="dxa" w:w="4320"/>
            <w:shd w:val="clear" w:color="auto" w:fill="F2F2F2"/>
          </w:tcPr>
          <w:p>
            <w:r>
              <w:rPr>
                <w:rFonts w:ascii="Arial" w:hAnsi="Arial"/>
                <w:b w:val="0"/>
                <w:sz w:val="22"/>
              </w:rPr>
              <w:t>ISSSTESON (estatal) — NO el ISSSTE federal</w:t>
            </w:r>
          </w:p>
        </w:tc>
      </w:tr>
      <w:tr>
        <w:tc>
          <w:tcPr>
            <w:tcW w:type="dxa" w:w="4320"/>
            <w:shd w:val="clear" w:color="auto" w:fill="FFFFFF"/>
          </w:tcPr>
          <w:p>
            <w:r>
              <w:rPr>
                <w:rFonts w:ascii="Arial" w:hAnsi="Arial"/>
                <w:b w:val="0"/>
                <w:sz w:val="22"/>
              </w:rPr>
              <w:t>Marco legal pensional</w:t>
            </w:r>
          </w:p>
        </w:tc>
        <w:tc>
          <w:tcPr>
            <w:tcW w:type="dxa" w:w="4320"/>
            <w:shd w:val="clear" w:color="auto" w:fill="FFFFFF"/>
          </w:tcPr>
          <w:p>
            <w:r>
              <w:rPr>
                <w:rFonts w:ascii="Arial" w:hAnsi="Arial"/>
                <w:b w:val="0"/>
                <w:sz w:val="22"/>
              </w:rPr>
              <w:t>Ley 38 del Estado de Sonora</w:t>
            </w:r>
          </w:p>
        </w:tc>
      </w:tr>
      <w:tr>
        <w:tc>
          <w:tcPr>
            <w:tcW w:type="dxa" w:w="4320"/>
            <w:shd w:val="clear" w:color="auto" w:fill="F2F2F2"/>
          </w:tcPr>
          <w:p>
            <w:r>
              <w:rPr>
                <w:rFonts w:ascii="Arial" w:hAnsi="Arial"/>
                <w:b w:val="0"/>
                <w:sz w:val="22"/>
              </w:rPr>
              <w:t>Secretario General (2022-2026)</w:t>
            </w:r>
          </w:p>
        </w:tc>
        <w:tc>
          <w:tcPr>
            <w:tcW w:type="dxa" w:w="4320"/>
            <w:shd w:val="clear" w:color="auto" w:fill="F2F2F2"/>
          </w:tcPr>
          <w:p>
            <w:r>
              <w:rPr>
                <w:rFonts w:ascii="Arial" w:hAnsi="Arial"/>
                <w:b w:val="0"/>
                <w:sz w:val="22"/>
              </w:rPr>
              <w:t>Mtro. Jesus Javier Ceballos Corral</w:t>
            </w:r>
          </w:p>
        </w:tc>
      </w:tr>
      <w:tr>
        <w:tc>
          <w:tcPr>
            <w:tcW w:type="dxa" w:w="4320"/>
            <w:shd w:val="clear" w:color="auto" w:fill="FFFFFF"/>
          </w:tcPr>
          <w:p>
            <w:r>
              <w:rPr>
                <w:rFonts w:ascii="Arial" w:hAnsi="Arial"/>
                <w:b w:val="0"/>
                <w:sz w:val="22"/>
              </w:rPr>
              <w:t>Afiliados totales</w:t>
            </w:r>
          </w:p>
        </w:tc>
        <w:tc>
          <w:tcPr>
            <w:tcW w:type="dxa" w:w="4320"/>
            <w:shd w:val="clear" w:color="auto" w:fill="FFFFFF"/>
          </w:tcPr>
          <w:p>
            <w:r>
              <w:rPr>
                <w:rFonts w:ascii="Arial" w:hAnsi="Arial"/>
                <w:b w:val="0"/>
                <w:sz w:val="22"/>
              </w:rPr>
              <w:t>+17,000 trabajadores de la educacion estatales (2024)</w:t>
            </w:r>
          </w:p>
        </w:tc>
      </w:tr>
      <w:tr>
        <w:tc>
          <w:tcPr>
            <w:tcW w:type="dxa" w:w="4320"/>
            <w:shd w:val="clear" w:color="auto" w:fill="F2F2F2"/>
          </w:tcPr>
          <w:p>
            <w:r>
              <w:rPr>
                <w:rFonts w:ascii="Arial" w:hAnsi="Arial"/>
                <w:b w:val="0"/>
                <w:sz w:val="22"/>
              </w:rPr>
              <w:t>Alineamiento politico</w:t>
            </w:r>
          </w:p>
        </w:tc>
        <w:tc>
          <w:tcPr>
            <w:tcW w:type="dxa" w:w="4320"/>
            <w:shd w:val="clear" w:color="auto" w:fill="F2F2F2"/>
          </w:tcPr>
          <w:p>
            <w:r>
              <w:rPr>
                <w:rFonts w:ascii="Arial" w:hAnsi="Arial"/>
                <w:b w:val="0"/>
                <w:sz w:val="22"/>
              </w:rPr>
              <w:t>SNTE nacional — Alfonso Cepeda Salas</w:t>
            </w:r>
          </w:p>
        </w:tc>
      </w:tr>
      <w:tr>
        <w:tc>
          <w:tcPr>
            <w:tcW w:type="dxa" w:w="4320"/>
            <w:shd w:val="clear" w:color="auto" w:fill="FFFFFF"/>
          </w:tcPr>
          <w:p>
            <w:r>
              <w:rPr>
                <w:rFonts w:ascii="Arial" w:hAnsi="Arial"/>
                <w:b w:val="0"/>
                <w:sz w:val="22"/>
              </w:rPr>
              <w:t>Fondo complementario propio</w:t>
            </w:r>
          </w:p>
        </w:tc>
        <w:tc>
          <w:tcPr>
            <w:tcW w:type="dxa" w:w="4320"/>
            <w:shd w:val="clear" w:color="auto" w:fill="FFFFFF"/>
          </w:tcPr>
          <w:p>
            <w:r>
              <w:rPr>
                <w:rFonts w:ascii="Arial" w:hAnsi="Arial"/>
                <w:b w:val="0"/>
                <w:sz w:val="22"/>
              </w:rPr>
              <w:t>CMAP (Caja Magisterial de Ahorros y Prestamos)</w:t>
            </w:r>
          </w:p>
        </w:tc>
      </w:tr>
      <w:tr>
        <w:tc>
          <w:tcPr>
            <w:tcW w:type="dxa" w:w="4320"/>
            <w:shd w:val="clear" w:color="auto" w:fill="F2F2F2"/>
          </w:tcPr>
          <w:p>
            <w:r>
              <w:rPr>
                <w:rFonts w:ascii="Arial" w:hAnsi="Arial"/>
                <w:b w:val="0"/>
                <w:sz w:val="22"/>
              </w:rPr>
              <w:t>Sitio web</w:t>
            </w:r>
          </w:p>
        </w:tc>
        <w:tc>
          <w:tcPr>
            <w:tcW w:type="dxa" w:w="4320"/>
            <w:shd w:val="clear" w:color="auto" w:fill="F2F2F2"/>
          </w:tcPr>
          <w:p>
            <w:r>
              <w:rPr>
                <w:rFonts w:ascii="Arial" w:hAnsi="Arial"/>
                <w:b w:val="0"/>
                <w:sz w:val="22"/>
              </w:rPr>
              <w:t>snte54.com.mx / snte.org.mx/seccion54</w:t>
            </w:r>
          </w:p>
        </w:tc>
      </w:tr>
    </w:tbl>
    <w:p/>
    <w:p>
      <w:r>
        <w:rPr>
          <w:rFonts w:ascii="Arial" w:hAnsi="Arial"/>
          <w:i/>
          <w:color w:val="444444"/>
          <w:sz w:val="22"/>
        </w:rPr>
        <w:t>DATO CRITICO PARA EL MS: La Seccion 54 y la Seccion 28 son dos universos distintos dentro del mismo magisterio sonorense. Los estatales cotizan al ISSSTESON, los federalizados cotizan al ISSSTE. El conflicto UMA-ISSSTE que lidera el MS NO les afecta directamente a los maestros de la S54. Su batalla es estatal, no federal.</w:t>
      </w:r>
    </w:p>
    <w:p>
      <w:r>
        <w:br w:type="page"/>
      </w:r>
    </w:p>
    <w:p>
      <w:r>
        <w:rPr>
          <w:rFonts w:ascii="Arial" w:hAnsi="Arial"/>
          <w:b/>
          <w:color w:val="1F3A6E"/>
          <w:sz w:val="28"/>
        </w:rPr>
        <w:t>PARTE II — PERFIL DEL LIDERAZGO: JESUS JAVIER CEBALLOS CORRAL</w:t>
      </w:r>
    </w:p>
    <w:p/>
    <w:p>
      <w:r>
        <w:rPr>
          <w:rFonts w:ascii="Arial" w:hAnsi="Arial"/>
          <w:b/>
          <w:sz w:val="24"/>
        </w:rPr>
        <w:t>Secretario General S54 (periodo 2022-2026)</w:t>
      </w:r>
    </w:p>
    <w:p/>
    <w:tbl>
      <w:tblPr>
        <w:tblStyle w:val="TableGrid"/>
        <w:tblW w:type="auto" w:w="0"/>
        <w:tblLook w:firstColumn="1" w:firstRow="1" w:lastColumn="0" w:lastRow="0" w:noHBand="0" w:noVBand="1" w:val="04A0"/>
      </w:tblPr>
      <w:tblGrid>
        <w:gridCol w:w="4320"/>
        <w:gridCol w:w="4320"/>
      </w:tblGrid>
      <w:tr>
        <w:tc>
          <w:tcPr>
            <w:tcW w:type="dxa" w:w="4320"/>
            <w:shd w:val="clear" w:color="auto" w:fill="1F3A6E"/>
          </w:tcPr>
          <w:p>
            <w:r>
              <w:rPr>
                <w:rFonts w:ascii="Arial" w:hAnsi="Arial"/>
                <w:b/>
                <w:color w:val="FFFFFF"/>
                <w:sz w:val="24"/>
              </w:rPr>
              <w:t>Indicador</w:t>
            </w:r>
          </w:p>
        </w:tc>
        <w:tc>
          <w:tcPr>
            <w:tcW w:type="dxa" w:w="4320"/>
            <w:shd w:val="clear" w:color="auto" w:fill="1F3A6E"/>
          </w:tcPr>
          <w:p>
            <w:r>
              <w:rPr>
                <w:rFonts w:ascii="Arial" w:hAnsi="Arial"/>
                <w:b/>
                <w:color w:val="FFFFFF"/>
                <w:sz w:val="24"/>
              </w:rPr>
              <w:t>Evaluacion</w:t>
            </w:r>
          </w:p>
        </w:tc>
      </w:tr>
      <w:tr>
        <w:tc>
          <w:tcPr>
            <w:tcW w:type="dxa" w:w="4320"/>
            <w:shd w:val="clear" w:color="auto" w:fill="F2F2F2"/>
          </w:tcPr>
          <w:p>
            <w:r>
              <w:rPr>
                <w:rFonts w:ascii="Arial" w:hAnsi="Arial"/>
                <w:b w:val="0"/>
                <w:sz w:val="22"/>
              </w:rPr>
              <w:t>Alineamiento</w:t>
            </w:r>
          </w:p>
        </w:tc>
        <w:tc>
          <w:tcPr>
            <w:tcW w:type="dxa" w:w="4320"/>
            <w:shd w:val="clear" w:color="auto" w:fill="F2F2F2"/>
          </w:tcPr>
          <w:p>
            <w:r>
              <w:rPr>
                <w:rFonts w:ascii="Arial" w:hAnsi="Arial"/>
                <w:b w:val="0"/>
                <w:sz w:val="22"/>
              </w:rPr>
              <w:t>SNTE nacional (Alfonso Cepeda) — linea corporativa institucional</w:t>
            </w:r>
          </w:p>
        </w:tc>
      </w:tr>
      <w:tr>
        <w:tc>
          <w:tcPr>
            <w:tcW w:type="dxa" w:w="4320"/>
            <w:shd w:val="clear" w:color="auto" w:fill="FFFFFF"/>
          </w:tcPr>
          <w:p>
            <w:r>
              <w:rPr>
                <w:rFonts w:ascii="Arial" w:hAnsi="Arial"/>
                <w:b w:val="0"/>
                <w:sz w:val="22"/>
              </w:rPr>
              <w:t>Postura sobre Ley ISSSTE</w:t>
            </w:r>
          </w:p>
        </w:tc>
        <w:tc>
          <w:tcPr>
            <w:tcW w:type="dxa" w:w="4320"/>
            <w:shd w:val="clear" w:color="auto" w:fill="FFFFFF"/>
          </w:tcPr>
          <w:p>
            <w:r>
              <w:rPr>
                <w:rFonts w:ascii="Arial" w:hAnsi="Arial"/>
                <w:b w:val="0"/>
                <w:sz w:val="22"/>
              </w:rPr>
              <w:t>Sin pronunciamiento publico documentado — observador distante</w:t>
            </w:r>
          </w:p>
        </w:tc>
      </w:tr>
      <w:tr>
        <w:tc>
          <w:tcPr>
            <w:tcW w:type="dxa" w:w="4320"/>
            <w:shd w:val="clear" w:color="auto" w:fill="F2F2F2"/>
          </w:tcPr>
          <w:p>
            <w:r>
              <w:rPr>
                <w:rFonts w:ascii="Arial" w:hAnsi="Arial"/>
                <w:b w:val="0"/>
                <w:sz w:val="22"/>
              </w:rPr>
              <w:t>Postura sobre el MS</w:t>
            </w:r>
          </w:p>
        </w:tc>
        <w:tc>
          <w:tcPr>
            <w:tcW w:type="dxa" w:w="4320"/>
            <w:shd w:val="clear" w:color="auto" w:fill="F2F2F2"/>
          </w:tcPr>
          <w:p>
            <w:r>
              <w:rPr>
                <w:rFonts w:ascii="Arial" w:hAnsi="Arial"/>
                <w:b w:val="0"/>
                <w:sz w:val="22"/>
              </w:rPr>
              <w:t>Sin confrontacion abierta — zona gris tactica</w:t>
            </w:r>
          </w:p>
        </w:tc>
      </w:tr>
      <w:tr>
        <w:tc>
          <w:tcPr>
            <w:tcW w:type="dxa" w:w="4320"/>
            <w:shd w:val="clear" w:color="auto" w:fill="FFFFFF"/>
          </w:tcPr>
          <w:p>
            <w:r>
              <w:rPr>
                <w:rFonts w:ascii="Arial" w:hAnsi="Arial"/>
                <w:b w:val="0"/>
                <w:sz w:val="22"/>
              </w:rPr>
              <w:t>Estilo de gestion</w:t>
            </w:r>
          </w:p>
        </w:tc>
        <w:tc>
          <w:tcPr>
            <w:tcW w:type="dxa" w:w="4320"/>
            <w:shd w:val="clear" w:color="auto" w:fill="FFFFFF"/>
          </w:tcPr>
          <w:p>
            <w:r>
              <w:rPr>
                <w:rFonts w:ascii="Arial" w:hAnsi="Arial"/>
                <w:b w:val="0"/>
                <w:sz w:val="22"/>
              </w:rPr>
              <w:t>Institucional, no confrontacional — perfil opuesto a CNTE</w:t>
            </w:r>
          </w:p>
        </w:tc>
      </w:tr>
      <w:tr>
        <w:tc>
          <w:tcPr>
            <w:tcW w:type="dxa" w:w="4320"/>
            <w:shd w:val="clear" w:color="auto" w:fill="F2F2F2"/>
          </w:tcPr>
          <w:p>
            <w:r>
              <w:rPr>
                <w:rFonts w:ascii="Arial" w:hAnsi="Arial"/>
                <w:b w:val="0"/>
                <w:sz w:val="22"/>
              </w:rPr>
              <w:t>Palancas de presion</w:t>
            </w:r>
          </w:p>
        </w:tc>
        <w:tc>
          <w:tcPr>
            <w:tcW w:type="dxa" w:w="4320"/>
            <w:shd w:val="clear" w:color="auto" w:fill="F2F2F2"/>
          </w:tcPr>
          <w:p>
            <w:r>
              <w:rPr>
                <w:rFonts w:ascii="Arial" w:hAnsi="Arial"/>
                <w:b w:val="0"/>
                <w:sz w:val="22"/>
              </w:rPr>
              <w:t>Relacion con Gobernador del Estado y SEP estatal (SEC Sonora)</w:t>
            </w:r>
          </w:p>
        </w:tc>
      </w:tr>
    </w:tbl>
    <w:p/>
    <w:p>
      <w:r>
        <w:rPr>
          <w:rFonts w:ascii="Arial" w:hAnsi="Arial"/>
          <w:i/>
          <w:color w:val="444444"/>
          <w:sz w:val="22"/>
        </w:rPr>
        <w:t>No existe evidencia de comunicados oficiales de Ceballos Corral tomando postura sobre el conflicto federalizado (Ley del ISSSTE / UMAs). Esto representa una ventana tactica: la S54 no es un adversario activo del MS.</w:t>
      </w:r>
    </w:p>
    <w:p>
      <w:r>
        <w:br w:type="page"/>
      </w:r>
    </w:p>
    <w:p>
      <w:r>
        <w:rPr>
          <w:rFonts w:ascii="Arial" w:hAnsi="Arial"/>
          <w:b/>
          <w:color w:val="1F3A6E"/>
          <w:sz w:val="28"/>
        </w:rPr>
        <w:t>PARTE III — ANATOMIA DEL ISSSTESON: LA CRISIS QUE NADIE NOMBRA</w:t>
      </w:r>
    </w:p>
    <w:p/>
    <w:p>
      <w:r>
        <w:rPr>
          <w:rFonts w:ascii="Arial" w:hAnsi="Arial"/>
          <w:b/>
          <w:sz w:val="24"/>
        </w:rPr>
        <w:t>3.1 Que es el ISSSTESON</w:t>
      </w:r>
    </w:p>
    <w:p>
      <w:r>
        <w:rPr>
          <w:rFonts w:ascii="Arial" w:hAnsi="Arial"/>
          <w:sz w:val="24"/>
        </w:rPr>
        <w:t>El Instituto de Seguridad y Servicios Sociales de los Trabajadores del Estado de Sonora es el equivalente estatal del ISSSTE: administra pensiones, servicios medicos y prestaciones de los trabajadores del Gobierno de Sonora — incluyendo los maestros de la Seccion 54, empleados de municipios incorporados, Poder Judicial y Poder Legislativo estatal. Se rige por la Ley 38 del Estado de Sonora.</w:t>
      </w:r>
    </w:p>
    <w:p/>
    <w:p>
      <w:r>
        <w:rPr>
          <w:rFonts w:ascii="Arial" w:hAnsi="Arial"/>
          <w:b/>
          <w:sz w:val="24"/>
        </w:rPr>
        <w:t>3.2 La Crisis Financiera: Numeros Crudos</w:t>
      </w:r>
    </w:p>
    <w:p/>
    <w:tbl>
      <w:tblPr>
        <w:tblStyle w:val="TableGrid"/>
        <w:tblW w:type="auto" w:w="0"/>
        <w:tblLook w:firstColumn="1" w:firstRow="1" w:lastColumn="0" w:lastRow="0" w:noHBand="0" w:noVBand="1" w:val="04A0"/>
      </w:tblPr>
      <w:tblGrid>
        <w:gridCol w:w="4320"/>
        <w:gridCol w:w="4320"/>
      </w:tblGrid>
      <w:tr>
        <w:tc>
          <w:tcPr>
            <w:tcW w:type="dxa" w:w="4320"/>
            <w:shd w:val="clear" w:color="auto" w:fill="1F3A6E"/>
          </w:tcPr>
          <w:p>
            <w:r>
              <w:rPr>
                <w:rFonts w:ascii="Arial" w:hAnsi="Arial"/>
                <w:b/>
                <w:color w:val="FFFFFF"/>
                <w:sz w:val="24"/>
              </w:rPr>
              <w:t>Elemento</w:t>
            </w:r>
          </w:p>
        </w:tc>
        <w:tc>
          <w:tcPr>
            <w:tcW w:type="dxa" w:w="4320"/>
            <w:shd w:val="clear" w:color="auto" w:fill="1F3A6E"/>
          </w:tcPr>
          <w:p>
            <w:r>
              <w:rPr>
                <w:rFonts w:ascii="Arial" w:hAnsi="Arial"/>
                <w:b/>
                <w:color w:val="FFFFFF"/>
                <w:sz w:val="24"/>
              </w:rPr>
              <w:t>Detalle</w:t>
            </w:r>
          </w:p>
        </w:tc>
      </w:tr>
      <w:tr>
        <w:tc>
          <w:tcPr>
            <w:tcW w:type="dxa" w:w="4320"/>
            <w:shd w:val="clear" w:color="auto" w:fill="F2F2F2"/>
          </w:tcPr>
          <w:p>
            <w:r>
              <w:rPr>
                <w:rFonts w:ascii="Arial" w:hAnsi="Arial"/>
                <w:b w:val="0"/>
                <w:sz w:val="22"/>
              </w:rPr>
              <w:t>Deficit presupuestario documentado</w:t>
            </w:r>
          </w:p>
        </w:tc>
        <w:tc>
          <w:tcPr>
            <w:tcW w:type="dxa" w:w="4320"/>
            <w:shd w:val="clear" w:color="auto" w:fill="F2F2F2"/>
          </w:tcPr>
          <w:p>
            <w:r>
              <w:rPr>
                <w:rFonts w:ascii="Arial" w:hAnsi="Arial"/>
                <w:b w:val="0"/>
                <w:sz w:val="22"/>
              </w:rPr>
              <w:t>~4,000 millones de pesos (reducido desde cifras aun mayores en años anteriores)</w:t>
            </w:r>
          </w:p>
        </w:tc>
      </w:tr>
      <w:tr>
        <w:tc>
          <w:tcPr>
            <w:tcW w:type="dxa" w:w="4320"/>
            <w:shd w:val="clear" w:color="auto" w:fill="FFFFFF"/>
          </w:tcPr>
          <w:p>
            <w:r>
              <w:rPr>
                <w:rFonts w:ascii="Arial" w:hAnsi="Arial"/>
                <w:b w:val="0"/>
                <w:sz w:val="22"/>
              </w:rPr>
              <w:t>Causa 1</w:t>
            </w:r>
          </w:p>
        </w:tc>
        <w:tc>
          <w:tcPr>
            <w:tcW w:type="dxa" w:w="4320"/>
            <w:shd w:val="clear" w:color="auto" w:fill="FFFFFF"/>
          </w:tcPr>
          <w:p>
            <w:r>
              <w:rPr>
                <w:rFonts w:ascii="Arial" w:hAnsi="Arial"/>
                <w:b w:val="0"/>
                <w:sz w:val="22"/>
              </w:rPr>
              <w:t>Cuotas y aportaciones insuficientes frente al gasto total</w:t>
            </w:r>
          </w:p>
        </w:tc>
      </w:tr>
      <w:tr>
        <w:tc>
          <w:tcPr>
            <w:tcW w:type="dxa" w:w="4320"/>
            <w:shd w:val="clear" w:color="auto" w:fill="F2F2F2"/>
          </w:tcPr>
          <w:p>
            <w:r>
              <w:rPr>
                <w:rFonts w:ascii="Arial" w:hAnsi="Arial"/>
                <w:b w:val="0"/>
                <w:sz w:val="22"/>
              </w:rPr>
              <w:t>Causa 2</w:t>
            </w:r>
          </w:p>
        </w:tc>
        <w:tc>
          <w:tcPr>
            <w:tcW w:type="dxa" w:w="4320"/>
            <w:shd w:val="clear" w:color="auto" w:fill="F2F2F2"/>
          </w:tcPr>
          <w:p>
            <w:r>
              <w:rPr>
                <w:rFonts w:ascii="Arial" w:hAnsi="Arial"/>
                <w:b w:val="0"/>
                <w:sz w:val="22"/>
              </w:rPr>
              <w:t>Rezago de municipios y organismos en pago de cuotas</w:t>
            </w:r>
          </w:p>
        </w:tc>
      </w:tr>
      <w:tr>
        <w:tc>
          <w:tcPr>
            <w:tcW w:type="dxa" w:w="4320"/>
            <w:shd w:val="clear" w:color="auto" w:fill="FFFFFF"/>
          </w:tcPr>
          <w:p>
            <w:r>
              <w:rPr>
                <w:rFonts w:ascii="Arial" w:hAnsi="Arial"/>
                <w:b w:val="0"/>
                <w:sz w:val="22"/>
              </w:rPr>
              <w:t>Causa 3</w:t>
            </w:r>
          </w:p>
        </w:tc>
        <w:tc>
          <w:tcPr>
            <w:tcW w:type="dxa" w:w="4320"/>
            <w:shd w:val="clear" w:color="auto" w:fill="FFFFFF"/>
          </w:tcPr>
          <w:p>
            <w:r>
              <w:rPr>
                <w:rFonts w:ascii="Arial" w:hAnsi="Arial"/>
                <w:b w:val="0"/>
                <w:sz w:val="22"/>
              </w:rPr>
              <w:t>Crecimiento constante de pensionados sin crecimiento proporcional de cotizantes</w:t>
            </w:r>
          </w:p>
        </w:tc>
      </w:tr>
      <w:tr>
        <w:tc>
          <w:tcPr>
            <w:tcW w:type="dxa" w:w="4320"/>
            <w:shd w:val="clear" w:color="auto" w:fill="F2F2F2"/>
          </w:tcPr>
          <w:p>
            <w:r>
              <w:rPr>
                <w:rFonts w:ascii="Arial" w:hAnsi="Arial"/>
                <w:b w:val="0"/>
                <w:sz w:val="22"/>
              </w:rPr>
              <w:t>Situacion actuarial</w:t>
            </w:r>
          </w:p>
        </w:tc>
        <w:tc>
          <w:tcPr>
            <w:tcW w:type="dxa" w:w="4320"/>
            <w:shd w:val="clear" w:color="auto" w:fill="F2F2F2"/>
          </w:tcPr>
          <w:p>
            <w:r>
              <w:rPr>
                <w:rFonts w:ascii="Arial" w:hAnsi="Arial"/>
                <w:b w:val="0"/>
                <w:sz w:val="22"/>
              </w:rPr>
              <w:t>Reservas NEGATIVAS — estudios oficiales reconocen inviabilidad a largo plazo</w:t>
            </w:r>
          </w:p>
        </w:tc>
      </w:tr>
      <w:tr>
        <w:tc>
          <w:tcPr>
            <w:tcW w:type="dxa" w:w="4320"/>
            <w:shd w:val="clear" w:color="auto" w:fill="FFFFFF"/>
          </w:tcPr>
          <w:p>
            <w:r>
              <w:rPr>
                <w:rFonts w:ascii="Arial" w:hAnsi="Arial"/>
                <w:b w:val="0"/>
                <w:sz w:val="22"/>
              </w:rPr>
              <w:t>Rescate externo</w:t>
            </w:r>
          </w:p>
        </w:tc>
        <w:tc>
          <w:tcPr>
            <w:tcW w:type="dxa" w:w="4320"/>
            <w:shd w:val="clear" w:color="auto" w:fill="FFFFFF"/>
          </w:tcPr>
          <w:p>
            <w:r>
              <w:rPr>
                <w:rFonts w:ascii="Arial" w:hAnsi="Arial"/>
                <w:b w:val="0"/>
                <w:sz w:val="22"/>
              </w:rPr>
              <w:t>Gobierno Federal ha inyectado recursos para cubrir aguinaldos y pensiones</w:t>
            </w:r>
          </w:p>
        </w:tc>
      </w:tr>
    </w:tbl>
    <w:p/>
    <w:p>
      <w:r>
        <w:rPr>
          <w:rFonts w:ascii="Arial" w:hAnsi="Arial"/>
          <w:i/>
          <w:color w:val="444444"/>
          <w:sz w:val="22"/>
        </w:rPr>
        <w:t>BOMBA DE TIEMPO: Los estudios actuariales del propio ISSSTESON reconocen que el sistema es insostenible sin reformas profundas. El Gobierno del Estado lo sabe. La S54 lo sabe. Ninguno lo dice abiertamente a la base. Esta es una bomba de tiempo que el MS puede activar estrategicamente.</w:t>
      </w:r>
    </w:p>
    <w:p>
      <w:r>
        <w:br w:type="page"/>
      </w:r>
    </w:p>
    <w:p>
      <w:r>
        <w:rPr>
          <w:rFonts w:ascii="Arial" w:hAnsi="Arial"/>
          <w:b/>
          <w:color w:val="1F3A6E"/>
          <w:sz w:val="28"/>
        </w:rPr>
        <w:t>PARTE IV — LA TRAMPA DE LAS TRES GENERACIONES (Ley 38, reforma 2005)</w:t>
      </w:r>
    </w:p>
    <w:p/>
    <w:p>
      <w:r>
        <w:rPr>
          <w:rFonts w:ascii="Arial" w:hAnsi="Arial"/>
          <w:sz w:val="24"/>
        </w:rPr>
        <w:t>La reforma de 2005 a la Ley 38 del ISSSTESON creo una estructura generacional que reproduce la misma logica que la Ley del ISSSTE 2007:</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A6E"/>
          </w:tcPr>
          <w:p>
            <w:r>
              <w:rPr>
                <w:rFonts w:ascii="Arial" w:hAnsi="Arial"/>
                <w:b/>
                <w:color w:val="FFFFFF"/>
                <w:sz w:val="24"/>
              </w:rPr>
              <w:t>Generacion</w:t>
            </w:r>
          </w:p>
        </w:tc>
        <w:tc>
          <w:tcPr>
            <w:tcW w:type="dxa" w:w="1728"/>
            <w:shd w:val="clear" w:color="auto" w:fill="1F3A6E"/>
          </w:tcPr>
          <w:p>
            <w:r>
              <w:rPr>
                <w:rFonts w:ascii="Arial" w:hAnsi="Arial"/>
                <w:b/>
                <w:color w:val="FFFFFF"/>
                <w:sz w:val="24"/>
              </w:rPr>
              <w:t>Criterio de ingreso</w:t>
            </w:r>
          </w:p>
        </w:tc>
        <w:tc>
          <w:tcPr>
            <w:tcW w:type="dxa" w:w="1728"/>
            <w:shd w:val="clear" w:color="auto" w:fill="1F3A6E"/>
          </w:tcPr>
          <w:p>
            <w:r>
              <w:rPr>
                <w:rFonts w:ascii="Arial" w:hAnsi="Arial"/>
                <w:b/>
                <w:color w:val="FFFFFF"/>
                <w:sz w:val="24"/>
              </w:rPr>
              <w:t>Base de calculo</w:t>
            </w:r>
          </w:p>
        </w:tc>
        <w:tc>
          <w:tcPr>
            <w:tcW w:type="dxa" w:w="1728"/>
            <w:shd w:val="clear" w:color="auto" w:fill="1F3A6E"/>
          </w:tcPr>
          <w:p>
            <w:r>
              <w:rPr>
                <w:rFonts w:ascii="Arial" w:hAnsi="Arial"/>
                <w:b/>
                <w:color w:val="FFFFFF"/>
                <w:sz w:val="24"/>
              </w:rPr>
              <w:t>Tope</w:t>
            </w:r>
          </w:p>
        </w:tc>
        <w:tc>
          <w:tcPr>
            <w:tcW w:type="dxa" w:w="1728"/>
            <w:shd w:val="clear" w:color="auto" w:fill="1F3A6E"/>
          </w:tcPr>
          <w:p>
            <w:r>
              <w:rPr>
                <w:rFonts w:ascii="Arial" w:hAnsi="Arial"/>
                <w:b/>
                <w:color w:val="FFFFFF"/>
                <w:sz w:val="24"/>
              </w:rPr>
              <w:t>Requisitos</w:t>
            </w:r>
          </w:p>
        </w:tc>
      </w:tr>
      <w:tr>
        <w:tc>
          <w:tcPr>
            <w:tcW w:type="dxa" w:w="1728"/>
            <w:shd w:val="clear" w:color="auto" w:fill="F2F2F2"/>
          </w:tcPr>
          <w:p>
            <w:r>
              <w:rPr>
                <w:rFonts w:ascii="Arial" w:hAnsi="Arial"/>
                <w:b w:val="0"/>
                <w:sz w:val="22"/>
              </w:rPr>
              <w:t>G1 — Derechos Adquiridos</w:t>
            </w:r>
          </w:p>
        </w:tc>
        <w:tc>
          <w:tcPr>
            <w:tcW w:type="dxa" w:w="1728"/>
            <w:shd w:val="clear" w:color="auto" w:fill="F2F2F2"/>
          </w:tcPr>
          <w:p>
            <w:r>
              <w:rPr>
                <w:rFonts w:ascii="Arial" w:hAnsi="Arial"/>
                <w:b w:val="0"/>
                <w:sz w:val="22"/>
              </w:rPr>
              <w:t>Pre-2005, 30+ años cotizados al 30/jun/2005</w:t>
            </w:r>
          </w:p>
        </w:tc>
        <w:tc>
          <w:tcPr>
            <w:tcW w:type="dxa" w:w="1728"/>
            <w:shd w:val="clear" w:color="auto" w:fill="F2F2F2"/>
          </w:tcPr>
          <w:p>
            <w:r>
              <w:rPr>
                <w:rFonts w:ascii="Arial" w:hAnsi="Arial"/>
                <w:b w:val="0"/>
                <w:sz w:val="22"/>
              </w:rPr>
              <w:t>Ultimo salario cotizado (100%)</w:t>
            </w:r>
          </w:p>
        </w:tc>
        <w:tc>
          <w:tcPr>
            <w:tcW w:type="dxa" w:w="1728"/>
            <w:shd w:val="clear" w:color="auto" w:fill="F2F2F2"/>
          </w:tcPr>
          <w:p>
            <w:r>
              <w:rPr>
                <w:rFonts w:ascii="Arial" w:hAnsi="Arial"/>
                <w:b w:val="0"/>
                <w:sz w:val="22"/>
              </w:rPr>
              <w:t>Sin tope duro</w:t>
            </w:r>
          </w:p>
        </w:tc>
        <w:tc>
          <w:tcPr>
            <w:tcW w:type="dxa" w:w="1728"/>
            <w:shd w:val="clear" w:color="auto" w:fill="F2F2F2"/>
          </w:tcPr>
          <w:p>
            <w:r>
              <w:rPr>
                <w:rFonts w:ascii="Arial" w:hAnsi="Arial"/>
                <w:b w:val="0"/>
                <w:sz w:val="22"/>
              </w:rPr>
              <w:t>30 H / 28 M años de servicio</w:t>
            </w:r>
          </w:p>
        </w:tc>
      </w:tr>
      <w:tr>
        <w:tc>
          <w:tcPr>
            <w:tcW w:type="dxa" w:w="1728"/>
            <w:shd w:val="clear" w:color="auto" w:fill="FFFFFF"/>
          </w:tcPr>
          <w:p>
            <w:r>
              <w:rPr>
                <w:rFonts w:ascii="Arial" w:hAnsi="Arial"/>
                <w:b w:val="0"/>
                <w:sz w:val="22"/>
              </w:rPr>
              <w:t>G2 — Actual</w:t>
            </w:r>
          </w:p>
        </w:tc>
        <w:tc>
          <w:tcPr>
            <w:tcW w:type="dxa" w:w="1728"/>
            <w:shd w:val="clear" w:color="auto" w:fill="FFFFFF"/>
          </w:tcPr>
          <w:p>
            <w:r>
              <w:rPr>
                <w:rFonts w:ascii="Arial" w:hAnsi="Arial"/>
                <w:b w:val="0"/>
                <w:sz w:val="22"/>
              </w:rPr>
              <w:t>Ingresaron antes de julio 2005, sin derechos adquiridos</w:t>
            </w:r>
          </w:p>
        </w:tc>
        <w:tc>
          <w:tcPr>
            <w:tcW w:type="dxa" w:w="1728"/>
            <w:shd w:val="clear" w:color="auto" w:fill="FFFFFF"/>
          </w:tcPr>
          <w:p>
            <w:r>
              <w:rPr>
                <w:rFonts w:ascii="Arial" w:hAnsi="Arial"/>
                <w:b w:val="0"/>
                <w:sz w:val="22"/>
              </w:rPr>
              <w:t>Promedio ultimos 3 años</w:t>
            </w:r>
          </w:p>
        </w:tc>
        <w:tc>
          <w:tcPr>
            <w:tcW w:type="dxa" w:w="1728"/>
            <w:shd w:val="clear" w:color="auto" w:fill="FFFFFF"/>
          </w:tcPr>
          <w:p>
            <w:r>
              <w:rPr>
                <w:rFonts w:ascii="Arial" w:hAnsi="Arial"/>
                <w:b w:val="0"/>
                <w:sz w:val="22"/>
              </w:rPr>
              <w:t>Sin tope duro</w:t>
            </w:r>
          </w:p>
        </w:tc>
        <w:tc>
          <w:tcPr>
            <w:tcW w:type="dxa" w:w="1728"/>
            <w:shd w:val="clear" w:color="auto" w:fill="FFFFFF"/>
          </w:tcPr>
          <w:p>
            <w:r>
              <w:rPr>
                <w:rFonts w:ascii="Arial" w:hAnsi="Arial"/>
                <w:b w:val="0"/>
                <w:sz w:val="22"/>
              </w:rPr>
              <w:t>Escala gradual segun año de ingreso</w:t>
            </w:r>
          </w:p>
        </w:tc>
      </w:tr>
      <w:tr>
        <w:tc>
          <w:tcPr>
            <w:tcW w:type="dxa" w:w="1728"/>
            <w:shd w:val="clear" w:color="auto" w:fill="F2F2F2"/>
          </w:tcPr>
          <w:p>
            <w:r>
              <w:rPr>
                <w:rFonts w:ascii="Arial" w:hAnsi="Arial"/>
                <w:b w:val="0"/>
                <w:sz w:val="22"/>
              </w:rPr>
              <w:t>G3 — Futura (LA MAS AFECTADA)</w:t>
            </w:r>
          </w:p>
        </w:tc>
        <w:tc>
          <w:tcPr>
            <w:tcW w:type="dxa" w:w="1728"/>
            <w:shd w:val="clear" w:color="auto" w:fill="F2F2F2"/>
          </w:tcPr>
          <w:p>
            <w:r>
              <w:rPr>
                <w:rFonts w:ascii="Arial" w:hAnsi="Arial"/>
                <w:b w:val="0"/>
                <w:sz w:val="22"/>
              </w:rPr>
              <w:t>Ingresaron DESPUES de julio 2005</w:t>
            </w:r>
          </w:p>
        </w:tc>
        <w:tc>
          <w:tcPr>
            <w:tcW w:type="dxa" w:w="1728"/>
            <w:shd w:val="clear" w:color="auto" w:fill="F2F2F2"/>
          </w:tcPr>
          <w:p>
            <w:r>
              <w:rPr>
                <w:rFonts w:ascii="Arial" w:hAnsi="Arial"/>
                <w:b w:val="0"/>
                <w:sz w:val="22"/>
              </w:rPr>
              <w:t>Promedio ultimos 10 años (sueldo regulador)</w:t>
            </w:r>
          </w:p>
        </w:tc>
        <w:tc>
          <w:tcPr>
            <w:tcW w:type="dxa" w:w="1728"/>
            <w:shd w:val="clear" w:color="auto" w:fill="F2F2F2"/>
          </w:tcPr>
          <w:p>
            <w:r>
              <w:rPr>
                <w:rFonts w:ascii="Arial" w:hAnsi="Arial"/>
                <w:b w:val="0"/>
                <w:sz w:val="22"/>
              </w:rPr>
              <w:t>20 salarios minimos mensuales</w:t>
            </w:r>
          </w:p>
        </w:tc>
        <w:tc>
          <w:tcPr>
            <w:tcW w:type="dxa" w:w="1728"/>
            <w:shd w:val="clear" w:color="auto" w:fill="F2F2F2"/>
          </w:tcPr>
          <w:p>
            <w:r>
              <w:rPr>
                <w:rFonts w:ascii="Arial" w:hAnsi="Arial"/>
                <w:b w:val="0"/>
                <w:sz w:val="22"/>
              </w:rPr>
              <w:t>35 H / 33 M años de servicio</w:t>
            </w:r>
          </w:p>
        </w:tc>
      </w:tr>
    </w:tbl>
    <w:p/>
    <w:p>
      <w:r>
        <w:rPr>
          <w:rFonts w:ascii="Arial" w:hAnsi="Arial"/>
          <w:i/>
          <w:color w:val="444444"/>
          <w:sz w:val="22"/>
        </w:rPr>
        <w:t>PARALELISMO EXPLOSIVO: Los maestros estatales de la Generacion Futura tienen un tope de 20 salarios minimos en ISSSTESON. Los maestros federalizados tienen un tope de 10 UMAs en ISSSTE. Dos sistemas distintos. El mismo agravio estructural. Todo maestro contratado despues de 2005 — estatal o federal — enfrenta una jubilacion topada y reducida.</w:t>
      </w:r>
    </w:p>
    <w:p>
      <w:r>
        <w:br w:type="page"/>
      </w:r>
    </w:p>
    <w:p>
      <w:r>
        <w:rPr>
          <w:rFonts w:ascii="Arial" w:hAnsi="Arial"/>
          <w:b/>
          <w:color w:val="1F3A6E"/>
          <w:sz w:val="28"/>
        </w:rPr>
        <w:t>PARTE V — EL CMAP: EL ACTIVO QUE DELATA LA INSUFICIENCIA DEL SISTEMA</w:t>
      </w:r>
    </w:p>
    <w:p/>
    <w:p>
      <w:r>
        <w:rPr>
          <w:rFonts w:ascii="Arial" w:hAnsi="Arial"/>
          <w:sz w:val="24"/>
        </w:rPr>
        <w:t>La Seccion 54 gestiona la CMAP (Caja Magisterial de Ahorros y Prestamos) como fondo complementario ante las deficiencias del ISSSTESON:</w:t>
      </w:r>
    </w:p>
    <w:p/>
    <w:tbl>
      <w:tblPr>
        <w:tblStyle w:val="TableGrid"/>
        <w:tblW w:type="auto" w:w="0"/>
        <w:tblLook w:firstColumn="1" w:firstRow="1" w:lastColumn="0" w:lastRow="0" w:noHBand="0" w:noVBand="1" w:val="04A0"/>
      </w:tblPr>
      <w:tblGrid>
        <w:gridCol w:w="4320"/>
        <w:gridCol w:w="4320"/>
      </w:tblGrid>
      <w:tr>
        <w:tc>
          <w:tcPr>
            <w:tcW w:type="dxa" w:w="4320"/>
            <w:shd w:val="clear" w:color="auto" w:fill="1F3A6E"/>
          </w:tcPr>
          <w:p>
            <w:r>
              <w:rPr>
                <w:rFonts w:ascii="Arial" w:hAnsi="Arial"/>
                <w:b/>
                <w:color w:val="FFFFFF"/>
                <w:sz w:val="24"/>
              </w:rPr>
              <w:t>Servicio CMAP</w:t>
            </w:r>
          </w:p>
        </w:tc>
        <w:tc>
          <w:tcPr>
            <w:tcW w:type="dxa" w:w="4320"/>
            <w:shd w:val="clear" w:color="auto" w:fill="1F3A6E"/>
          </w:tcPr>
          <w:p>
            <w:r>
              <w:rPr>
                <w:rFonts w:ascii="Arial" w:hAnsi="Arial"/>
                <w:b/>
                <w:color w:val="FFFFFF"/>
                <w:sz w:val="24"/>
              </w:rPr>
              <w:t>Descripcion</w:t>
            </w:r>
          </w:p>
        </w:tc>
      </w:tr>
      <w:tr>
        <w:tc>
          <w:tcPr>
            <w:tcW w:type="dxa" w:w="4320"/>
            <w:shd w:val="clear" w:color="auto" w:fill="F2F2F2"/>
          </w:tcPr>
          <w:p>
            <w:r>
              <w:rPr>
                <w:rFonts w:ascii="Arial" w:hAnsi="Arial"/>
                <w:b w:val="0"/>
                <w:sz w:val="22"/>
              </w:rPr>
              <w:t>Bono de retiro</w:t>
            </w:r>
          </w:p>
        </w:tc>
        <w:tc>
          <w:tcPr>
            <w:tcW w:type="dxa" w:w="4320"/>
            <w:shd w:val="clear" w:color="auto" w:fill="F2F2F2"/>
          </w:tcPr>
          <w:p>
            <w:r>
              <w:rPr>
                <w:rFonts w:ascii="Arial" w:hAnsi="Arial"/>
                <w:b w:val="0"/>
                <w:sz w:val="22"/>
              </w:rPr>
              <w:t>Pago unico al momento de jubilarse — complemento de la pension ISSSTESON</w:t>
            </w:r>
          </w:p>
        </w:tc>
      </w:tr>
      <w:tr>
        <w:tc>
          <w:tcPr>
            <w:tcW w:type="dxa" w:w="4320"/>
            <w:shd w:val="clear" w:color="auto" w:fill="FFFFFF"/>
          </w:tcPr>
          <w:p>
            <w:r>
              <w:rPr>
                <w:rFonts w:ascii="Arial" w:hAnsi="Arial"/>
                <w:b w:val="0"/>
                <w:sz w:val="22"/>
              </w:rPr>
              <w:t>Prestamos a corto plazo</w:t>
            </w:r>
          </w:p>
        </w:tc>
        <w:tc>
          <w:tcPr>
            <w:tcW w:type="dxa" w:w="4320"/>
            <w:shd w:val="clear" w:color="auto" w:fill="FFFFFF"/>
          </w:tcPr>
          <w:p>
            <w:r>
              <w:rPr>
                <w:rFonts w:ascii="Arial" w:hAnsi="Arial"/>
                <w:b w:val="0"/>
                <w:sz w:val="22"/>
              </w:rPr>
              <w:t>Liquidez inmediata para afiliados activos</w:t>
            </w:r>
          </w:p>
        </w:tc>
      </w:tr>
      <w:tr>
        <w:tc>
          <w:tcPr>
            <w:tcW w:type="dxa" w:w="4320"/>
            <w:shd w:val="clear" w:color="auto" w:fill="F2F2F2"/>
          </w:tcPr>
          <w:p>
            <w:r>
              <w:rPr>
                <w:rFonts w:ascii="Arial" w:hAnsi="Arial"/>
                <w:b w:val="0"/>
                <w:sz w:val="22"/>
              </w:rPr>
              <w:t>Prestamos prendarios</w:t>
            </w:r>
          </w:p>
        </w:tc>
        <w:tc>
          <w:tcPr>
            <w:tcW w:type="dxa" w:w="4320"/>
            <w:shd w:val="clear" w:color="auto" w:fill="F2F2F2"/>
          </w:tcPr>
          <w:p>
            <w:r>
              <w:rPr>
                <w:rFonts w:ascii="Arial" w:hAnsi="Arial"/>
                <w:b w:val="0"/>
                <w:sz w:val="22"/>
              </w:rPr>
              <w:t>Sobre bienes muebles</w:t>
            </w:r>
          </w:p>
        </w:tc>
      </w:tr>
      <w:tr>
        <w:tc>
          <w:tcPr>
            <w:tcW w:type="dxa" w:w="4320"/>
            <w:shd w:val="clear" w:color="auto" w:fill="FFFFFF"/>
          </w:tcPr>
          <w:p>
            <w:r>
              <w:rPr>
                <w:rFonts w:ascii="Arial" w:hAnsi="Arial"/>
                <w:b w:val="0"/>
                <w:sz w:val="22"/>
              </w:rPr>
              <w:t>Prestamos hipotecarios</w:t>
            </w:r>
          </w:p>
        </w:tc>
        <w:tc>
          <w:tcPr>
            <w:tcW w:type="dxa" w:w="4320"/>
            <w:shd w:val="clear" w:color="auto" w:fill="FFFFFF"/>
          </w:tcPr>
          <w:p>
            <w:r>
              <w:rPr>
                <w:rFonts w:ascii="Arial" w:hAnsi="Arial"/>
                <w:b w:val="0"/>
                <w:sz w:val="22"/>
              </w:rPr>
              <w:t>Para vivienda</w:t>
            </w:r>
          </w:p>
        </w:tc>
      </w:tr>
    </w:tbl>
    <w:p/>
    <w:p>
      <w:r>
        <w:rPr>
          <w:rFonts w:ascii="Arial" w:hAnsi="Arial"/>
          <w:i/>
          <w:color w:val="444444"/>
          <w:sz w:val="22"/>
        </w:rPr>
        <w:t>DATO CLAVE: Que la Seccion 54 haya necesitado crear su propia caja de ahorro complementaria es el reconocimiento implicito de que el ISSSTESON no alcanza para garantizar pensiones dignas por si solo. Esto es municion argumentativa directa para el MS: "Hasta el sindicato estatal sabe que su sistema de pensiones es insuficiente."</w:t>
      </w:r>
    </w:p>
    <w:p>
      <w:r>
        <w:br w:type="page"/>
      </w:r>
    </w:p>
    <w:p>
      <w:r>
        <w:rPr>
          <w:rFonts w:ascii="Arial" w:hAnsi="Arial"/>
          <w:b/>
          <w:color w:val="1F3A6E"/>
          <w:sz w:val="28"/>
        </w:rPr>
        <w:t>PARTE VI — MAPA COMPARATIVO: S54 (ESTATALES) vs. S28/MS (FEDERALIZADOS)</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A6E"/>
          </w:tcPr>
          <w:p>
            <w:r>
              <w:rPr>
                <w:rFonts w:ascii="Arial" w:hAnsi="Arial"/>
                <w:b/>
                <w:color w:val="FFFFFF"/>
                <w:sz w:val="24"/>
              </w:rPr>
              <w:t>Dimension</w:t>
            </w:r>
          </w:p>
        </w:tc>
        <w:tc>
          <w:tcPr>
            <w:tcW w:type="dxa" w:w="2880"/>
            <w:shd w:val="clear" w:color="auto" w:fill="1F3A6E"/>
          </w:tcPr>
          <w:p>
            <w:r>
              <w:rPr>
                <w:rFonts w:ascii="Arial" w:hAnsi="Arial"/>
                <w:b/>
                <w:color w:val="FFFFFF"/>
                <w:sz w:val="24"/>
              </w:rPr>
              <w:t>Estatales — Seccion 54</w:t>
            </w:r>
          </w:p>
        </w:tc>
        <w:tc>
          <w:tcPr>
            <w:tcW w:type="dxa" w:w="2880"/>
            <w:shd w:val="clear" w:color="auto" w:fill="1F3A6E"/>
          </w:tcPr>
          <w:p>
            <w:r>
              <w:rPr>
                <w:rFonts w:ascii="Arial" w:hAnsi="Arial"/>
                <w:b/>
                <w:color w:val="FFFFFF"/>
                <w:sz w:val="24"/>
              </w:rPr>
              <w:t>Federalizados — Seccion 28 / MS</w:t>
            </w:r>
          </w:p>
        </w:tc>
      </w:tr>
      <w:tr>
        <w:tc>
          <w:tcPr>
            <w:tcW w:type="dxa" w:w="2880"/>
            <w:shd w:val="clear" w:color="auto" w:fill="F2F2F2"/>
          </w:tcPr>
          <w:p>
            <w:r>
              <w:rPr>
                <w:rFonts w:ascii="Arial" w:hAnsi="Arial"/>
                <w:b w:val="0"/>
                <w:sz w:val="22"/>
              </w:rPr>
              <w:t>Patron laboral</w:t>
            </w:r>
          </w:p>
        </w:tc>
        <w:tc>
          <w:tcPr>
            <w:tcW w:type="dxa" w:w="2880"/>
            <w:shd w:val="clear" w:color="auto" w:fill="F2F2F2"/>
          </w:tcPr>
          <w:p>
            <w:r>
              <w:rPr>
                <w:rFonts w:ascii="Arial" w:hAnsi="Arial"/>
                <w:b w:val="0"/>
                <w:sz w:val="22"/>
              </w:rPr>
              <w:t>Gobierno del Estado de Sonora</w:t>
            </w:r>
          </w:p>
        </w:tc>
        <w:tc>
          <w:tcPr>
            <w:tcW w:type="dxa" w:w="2880"/>
            <w:shd w:val="clear" w:color="auto" w:fill="F2F2F2"/>
          </w:tcPr>
          <w:p>
            <w:r>
              <w:rPr>
                <w:rFonts w:ascii="Arial" w:hAnsi="Arial"/>
                <w:b w:val="0"/>
                <w:sz w:val="22"/>
              </w:rPr>
              <w:t>Federacion (SEP/FONE)</w:t>
            </w:r>
          </w:p>
        </w:tc>
      </w:tr>
      <w:tr>
        <w:tc>
          <w:tcPr>
            <w:tcW w:type="dxa" w:w="2880"/>
            <w:shd w:val="clear" w:color="auto" w:fill="FFFFFF"/>
          </w:tcPr>
          <w:p>
            <w:r>
              <w:rPr>
                <w:rFonts w:ascii="Arial" w:hAnsi="Arial"/>
                <w:b w:val="0"/>
                <w:sz w:val="22"/>
              </w:rPr>
              <w:t>Institucion pensional</w:t>
            </w:r>
          </w:p>
        </w:tc>
        <w:tc>
          <w:tcPr>
            <w:tcW w:type="dxa" w:w="2880"/>
            <w:shd w:val="clear" w:color="auto" w:fill="FFFFFF"/>
          </w:tcPr>
          <w:p>
            <w:r>
              <w:rPr>
                <w:rFonts w:ascii="Arial" w:hAnsi="Arial"/>
                <w:b w:val="0"/>
                <w:sz w:val="22"/>
              </w:rPr>
              <w:t>ISSSTESON</w:t>
            </w:r>
          </w:p>
        </w:tc>
        <w:tc>
          <w:tcPr>
            <w:tcW w:type="dxa" w:w="2880"/>
            <w:shd w:val="clear" w:color="auto" w:fill="FFFFFF"/>
          </w:tcPr>
          <w:p>
            <w:r>
              <w:rPr>
                <w:rFonts w:ascii="Arial" w:hAnsi="Arial"/>
                <w:b w:val="0"/>
                <w:sz w:val="22"/>
              </w:rPr>
              <w:t>ISSSTE</w:t>
            </w:r>
          </w:p>
        </w:tc>
      </w:tr>
      <w:tr>
        <w:tc>
          <w:tcPr>
            <w:tcW w:type="dxa" w:w="2880"/>
            <w:shd w:val="clear" w:color="auto" w:fill="F2F2F2"/>
          </w:tcPr>
          <w:p>
            <w:r>
              <w:rPr>
                <w:rFonts w:ascii="Arial" w:hAnsi="Arial"/>
                <w:b w:val="0"/>
                <w:sz w:val="22"/>
              </w:rPr>
              <w:t>Marco legal</w:t>
            </w:r>
          </w:p>
        </w:tc>
        <w:tc>
          <w:tcPr>
            <w:tcW w:type="dxa" w:w="2880"/>
            <w:shd w:val="clear" w:color="auto" w:fill="F2F2F2"/>
          </w:tcPr>
          <w:p>
            <w:r>
              <w:rPr>
                <w:rFonts w:ascii="Arial" w:hAnsi="Arial"/>
                <w:b w:val="0"/>
                <w:sz w:val="22"/>
              </w:rPr>
              <w:t>Ley 38 del Estado de Sonora</w:t>
            </w:r>
          </w:p>
        </w:tc>
        <w:tc>
          <w:tcPr>
            <w:tcW w:type="dxa" w:w="2880"/>
            <w:shd w:val="clear" w:color="auto" w:fill="F2F2F2"/>
          </w:tcPr>
          <w:p>
            <w:r>
              <w:rPr>
                <w:rFonts w:ascii="Arial" w:hAnsi="Arial"/>
                <w:b w:val="0"/>
                <w:sz w:val="22"/>
              </w:rPr>
              <w:t>Ley del ISSSTE 2007</w:t>
            </w:r>
          </w:p>
        </w:tc>
      </w:tr>
      <w:tr>
        <w:tc>
          <w:tcPr>
            <w:tcW w:type="dxa" w:w="2880"/>
            <w:shd w:val="clear" w:color="auto" w:fill="FFFFFF"/>
          </w:tcPr>
          <w:p>
            <w:r>
              <w:rPr>
                <w:rFonts w:ascii="Arial" w:hAnsi="Arial"/>
                <w:b w:val="0"/>
                <w:sz w:val="22"/>
              </w:rPr>
              <w:t>Tope pensional (generacion joven)</w:t>
            </w:r>
          </w:p>
        </w:tc>
        <w:tc>
          <w:tcPr>
            <w:tcW w:type="dxa" w:w="2880"/>
            <w:shd w:val="clear" w:color="auto" w:fill="FFFFFF"/>
          </w:tcPr>
          <w:p>
            <w:r>
              <w:rPr>
                <w:rFonts w:ascii="Arial" w:hAnsi="Arial"/>
                <w:b w:val="0"/>
                <w:sz w:val="22"/>
              </w:rPr>
              <w:t>20 salarios minimos mensuales</w:t>
            </w:r>
          </w:p>
        </w:tc>
        <w:tc>
          <w:tcPr>
            <w:tcW w:type="dxa" w:w="2880"/>
            <w:shd w:val="clear" w:color="auto" w:fill="FFFFFF"/>
          </w:tcPr>
          <w:p>
            <w:r>
              <w:rPr>
                <w:rFonts w:ascii="Arial" w:hAnsi="Arial"/>
                <w:b w:val="0"/>
                <w:sz w:val="22"/>
              </w:rPr>
              <w:t>10 UMAs</w:t>
            </w:r>
          </w:p>
        </w:tc>
      </w:tr>
      <w:tr>
        <w:tc>
          <w:tcPr>
            <w:tcW w:type="dxa" w:w="2880"/>
            <w:shd w:val="clear" w:color="auto" w:fill="F2F2F2"/>
          </w:tcPr>
          <w:p>
            <w:r>
              <w:rPr>
                <w:rFonts w:ascii="Arial" w:hAnsi="Arial"/>
                <w:b w:val="0"/>
                <w:sz w:val="22"/>
              </w:rPr>
              <w:t>Fondo complementario</w:t>
            </w:r>
          </w:p>
        </w:tc>
        <w:tc>
          <w:tcPr>
            <w:tcW w:type="dxa" w:w="2880"/>
            <w:shd w:val="clear" w:color="auto" w:fill="F2F2F2"/>
          </w:tcPr>
          <w:p>
            <w:r>
              <w:rPr>
                <w:rFonts w:ascii="Arial" w:hAnsi="Arial"/>
                <w:b w:val="0"/>
                <w:sz w:val="22"/>
              </w:rPr>
              <w:t>CMAP (propio del sindicato)</w:t>
            </w:r>
          </w:p>
        </w:tc>
        <w:tc>
          <w:tcPr>
            <w:tcW w:type="dxa" w:w="2880"/>
            <w:shd w:val="clear" w:color="auto" w:fill="F2F2F2"/>
          </w:tcPr>
          <w:p>
            <w:r>
              <w:rPr>
                <w:rFonts w:ascii="Arial" w:hAnsi="Arial"/>
                <w:b w:val="0"/>
                <w:sz w:val="22"/>
              </w:rPr>
              <w:t>Ninguno — el MS busca crearlo via PIP</w:t>
            </w:r>
          </w:p>
        </w:tc>
      </w:tr>
      <w:tr>
        <w:tc>
          <w:tcPr>
            <w:tcW w:type="dxa" w:w="2880"/>
            <w:shd w:val="clear" w:color="auto" w:fill="FFFFFF"/>
          </w:tcPr>
          <w:p>
            <w:r>
              <w:rPr>
                <w:rFonts w:ascii="Arial" w:hAnsi="Arial"/>
                <w:b w:val="0"/>
                <w:sz w:val="22"/>
              </w:rPr>
              <w:t>Crisis del sistema</w:t>
            </w:r>
          </w:p>
        </w:tc>
        <w:tc>
          <w:tcPr>
            <w:tcW w:type="dxa" w:w="2880"/>
            <w:shd w:val="clear" w:color="auto" w:fill="FFFFFF"/>
          </w:tcPr>
          <w:p>
            <w:r>
              <w:rPr>
                <w:rFonts w:ascii="Arial" w:hAnsi="Arial"/>
                <w:b w:val="0"/>
                <w:sz w:val="22"/>
              </w:rPr>
              <w:t>Deficit de 4,000 MDP + reservas negativas</w:t>
            </w:r>
          </w:p>
        </w:tc>
        <w:tc>
          <w:tcPr>
            <w:tcW w:type="dxa" w:w="2880"/>
            <w:shd w:val="clear" w:color="auto" w:fill="FFFFFF"/>
          </w:tcPr>
          <w:p>
            <w:r>
              <w:rPr>
                <w:rFonts w:ascii="Arial" w:hAnsi="Arial"/>
                <w:b w:val="0"/>
                <w:sz w:val="22"/>
              </w:rPr>
              <w:t>Agotamiento de reservas actuariales ISSSTE</w:t>
            </w:r>
          </w:p>
        </w:tc>
      </w:tr>
      <w:tr>
        <w:tc>
          <w:tcPr>
            <w:tcW w:type="dxa" w:w="2880"/>
            <w:shd w:val="clear" w:color="auto" w:fill="F2F2F2"/>
          </w:tcPr>
          <w:p>
            <w:r>
              <w:rPr>
                <w:rFonts w:ascii="Arial" w:hAnsi="Arial"/>
                <w:b w:val="0"/>
                <w:sz w:val="22"/>
              </w:rPr>
              <w:t>Afiliados en Sonora</w:t>
            </w:r>
          </w:p>
        </w:tc>
        <w:tc>
          <w:tcPr>
            <w:tcW w:type="dxa" w:w="2880"/>
            <w:shd w:val="clear" w:color="auto" w:fill="F2F2F2"/>
          </w:tcPr>
          <w:p>
            <w:r>
              <w:rPr>
                <w:rFonts w:ascii="Arial" w:hAnsi="Arial"/>
                <w:b w:val="0"/>
                <w:sz w:val="22"/>
              </w:rPr>
              <w:t>~17,000 estatales</w:t>
            </w:r>
          </w:p>
        </w:tc>
        <w:tc>
          <w:tcPr>
            <w:tcW w:type="dxa" w:w="2880"/>
            <w:shd w:val="clear" w:color="auto" w:fill="F2F2F2"/>
          </w:tcPr>
          <w:p>
            <w:r>
              <w:rPr>
                <w:rFonts w:ascii="Arial" w:hAnsi="Arial"/>
                <w:b w:val="0"/>
                <w:sz w:val="22"/>
              </w:rPr>
              <w:t>~40,000+ federalizados</w:t>
            </w:r>
          </w:p>
        </w:tc>
      </w:tr>
      <w:tr>
        <w:tc>
          <w:tcPr>
            <w:tcW w:type="dxa" w:w="2880"/>
            <w:shd w:val="clear" w:color="auto" w:fill="FFFFFF"/>
          </w:tcPr>
          <w:p>
            <w:r>
              <w:rPr>
                <w:rFonts w:ascii="Arial" w:hAnsi="Arial"/>
                <w:b w:val="0"/>
                <w:sz w:val="22"/>
              </w:rPr>
              <w:t>Postura ante el MS</w:t>
            </w:r>
          </w:p>
        </w:tc>
        <w:tc>
          <w:tcPr>
            <w:tcW w:type="dxa" w:w="2880"/>
            <w:shd w:val="clear" w:color="auto" w:fill="FFFFFF"/>
          </w:tcPr>
          <w:p>
            <w:r>
              <w:rPr>
                <w:rFonts w:ascii="Arial" w:hAnsi="Arial"/>
                <w:b w:val="0"/>
                <w:sz w:val="22"/>
              </w:rPr>
              <w:t>Observador neutro — sin confrontacion</w:t>
            </w:r>
          </w:p>
        </w:tc>
        <w:tc>
          <w:tcPr>
            <w:tcW w:type="dxa" w:w="2880"/>
            <w:shd w:val="clear" w:color="auto" w:fill="FFFFFF"/>
          </w:tcPr>
          <w:p>
            <w:r>
              <w:rPr>
                <w:rFonts w:ascii="Arial" w:hAnsi="Arial"/>
                <w:b w:val="0"/>
                <w:sz w:val="22"/>
              </w:rPr>
              <w:t>Base natural del movimiento</w:t>
            </w:r>
          </w:p>
        </w:tc>
      </w:tr>
    </w:tbl>
    <w:p>
      <w:r>
        <w:br w:type="page"/>
      </w:r>
    </w:p>
    <w:p>
      <w:r>
        <w:rPr>
          <w:rFonts w:ascii="Arial" w:hAnsi="Arial"/>
          <w:b/>
          <w:color w:val="1F3A6E"/>
          <w:sz w:val="28"/>
        </w:rPr>
        <w:t>PARTE VII — ANALISIS ESTRATEGICO: FORTALEZAS Y DEBILIDADES</w:t>
      </w:r>
    </w:p>
    <w:p/>
    <w:p>
      <w:r>
        <w:rPr>
          <w:rFonts w:ascii="Arial" w:hAnsi="Arial"/>
          <w:b/>
          <w:sz w:val="24"/>
        </w:rPr>
        <w:t>Fortalezas de la S54 como actor politico en Sonora</w:t>
      </w:r>
    </w:p>
    <w:p/>
    <w:tbl>
      <w:tblPr>
        <w:tblStyle w:val="TableGrid"/>
        <w:tblW w:type="auto" w:w="0"/>
        <w:tblLook w:firstColumn="1" w:firstRow="1" w:lastColumn="0" w:lastRow="0" w:noHBand="0" w:noVBand="1" w:val="04A0"/>
      </w:tblPr>
      <w:tblGrid>
        <w:gridCol w:w="4320"/>
        <w:gridCol w:w="4320"/>
      </w:tblGrid>
      <w:tr>
        <w:tc>
          <w:tcPr>
            <w:tcW w:type="dxa" w:w="4320"/>
            <w:shd w:val="clear" w:color="auto" w:fill="1F3A6E"/>
          </w:tcPr>
          <w:p>
            <w:r>
              <w:rPr>
                <w:rFonts w:ascii="Arial" w:hAnsi="Arial"/>
                <w:b/>
                <w:color w:val="FFFFFF"/>
                <w:sz w:val="24"/>
              </w:rPr>
              <w:t>Fortaleza</w:t>
            </w:r>
          </w:p>
        </w:tc>
        <w:tc>
          <w:tcPr>
            <w:tcW w:type="dxa" w:w="4320"/>
            <w:shd w:val="clear" w:color="auto" w:fill="1F3A6E"/>
          </w:tcPr>
          <w:p>
            <w:r>
              <w:rPr>
                <w:rFonts w:ascii="Arial" w:hAnsi="Arial"/>
                <w:b/>
                <w:color w:val="FFFFFF"/>
                <w:sz w:val="24"/>
              </w:rPr>
              <w:t>Descripcion</w:t>
            </w:r>
          </w:p>
        </w:tc>
      </w:tr>
      <w:tr>
        <w:tc>
          <w:tcPr>
            <w:tcW w:type="dxa" w:w="4320"/>
            <w:shd w:val="clear" w:color="auto" w:fill="F2F2F2"/>
          </w:tcPr>
          <w:p>
            <w:r>
              <w:rPr>
                <w:rFonts w:ascii="Arial" w:hAnsi="Arial"/>
                <w:b w:val="0"/>
                <w:sz w:val="22"/>
              </w:rPr>
              <w:t>Masa de afiliados</w:t>
            </w:r>
          </w:p>
        </w:tc>
        <w:tc>
          <w:tcPr>
            <w:tcW w:type="dxa" w:w="4320"/>
            <w:shd w:val="clear" w:color="auto" w:fill="F2F2F2"/>
          </w:tcPr>
          <w:p>
            <w:r>
              <w:rPr>
                <w:rFonts w:ascii="Arial" w:hAnsi="Arial"/>
                <w:b w:val="0"/>
                <w:sz w:val="22"/>
              </w:rPr>
              <w:t>17,000 trabajadores con voto y presencia territorial</w:t>
            </w:r>
          </w:p>
        </w:tc>
      </w:tr>
      <w:tr>
        <w:tc>
          <w:tcPr>
            <w:tcW w:type="dxa" w:w="4320"/>
            <w:shd w:val="clear" w:color="auto" w:fill="FFFFFF"/>
          </w:tcPr>
          <w:p>
            <w:r>
              <w:rPr>
                <w:rFonts w:ascii="Arial" w:hAnsi="Arial"/>
                <w:b w:val="0"/>
                <w:sz w:val="22"/>
              </w:rPr>
              <w:t>Acceso al Gobernador</w:t>
            </w:r>
          </w:p>
        </w:tc>
        <w:tc>
          <w:tcPr>
            <w:tcW w:type="dxa" w:w="4320"/>
            <w:shd w:val="clear" w:color="auto" w:fill="FFFFFF"/>
          </w:tcPr>
          <w:p>
            <w:r>
              <w:rPr>
                <w:rFonts w:ascii="Arial" w:hAnsi="Arial"/>
                <w:b w:val="0"/>
                <w:sz w:val="22"/>
              </w:rPr>
              <w:t>Canal institucional establecido con el Gobierno del Estado</w:t>
            </w:r>
          </w:p>
        </w:tc>
      </w:tr>
      <w:tr>
        <w:tc>
          <w:tcPr>
            <w:tcW w:type="dxa" w:w="4320"/>
            <w:shd w:val="clear" w:color="auto" w:fill="F2F2F2"/>
          </w:tcPr>
          <w:p>
            <w:r>
              <w:rPr>
                <w:rFonts w:ascii="Arial" w:hAnsi="Arial"/>
                <w:b w:val="0"/>
                <w:sz w:val="22"/>
              </w:rPr>
              <w:t>CMAP como recurso propio</w:t>
            </w:r>
          </w:p>
        </w:tc>
        <w:tc>
          <w:tcPr>
            <w:tcW w:type="dxa" w:w="4320"/>
            <w:shd w:val="clear" w:color="auto" w:fill="F2F2F2"/>
          </w:tcPr>
          <w:p>
            <w:r>
              <w:rPr>
                <w:rFonts w:ascii="Arial" w:hAnsi="Arial"/>
                <w:b w:val="0"/>
                <w:sz w:val="22"/>
              </w:rPr>
              <w:t>Independencia financiera parcial del sistema ISSSTESON</w:t>
            </w:r>
          </w:p>
        </w:tc>
      </w:tr>
      <w:tr>
        <w:tc>
          <w:tcPr>
            <w:tcW w:type="dxa" w:w="4320"/>
            <w:shd w:val="clear" w:color="auto" w:fill="FFFFFF"/>
          </w:tcPr>
          <w:p>
            <w:r>
              <w:rPr>
                <w:rFonts w:ascii="Arial" w:hAnsi="Arial"/>
                <w:b w:val="0"/>
                <w:sz w:val="22"/>
              </w:rPr>
              <w:t>Perfil no confrontacional</w:t>
            </w:r>
          </w:p>
        </w:tc>
        <w:tc>
          <w:tcPr>
            <w:tcW w:type="dxa" w:w="4320"/>
            <w:shd w:val="clear" w:color="auto" w:fill="FFFFFF"/>
          </w:tcPr>
          <w:p>
            <w:r>
              <w:rPr>
                <w:rFonts w:ascii="Arial" w:hAnsi="Arial"/>
                <w:b w:val="0"/>
                <w:sz w:val="22"/>
              </w:rPr>
              <w:t>No genera conflictos publicos — mayor credibilidad institucional</w:t>
            </w:r>
          </w:p>
        </w:tc>
      </w:tr>
      <w:tr>
        <w:tc>
          <w:tcPr>
            <w:tcW w:type="dxa" w:w="4320"/>
            <w:shd w:val="clear" w:color="auto" w:fill="F2F2F2"/>
          </w:tcPr>
          <w:p>
            <w:r>
              <w:rPr>
                <w:rFonts w:ascii="Arial" w:hAnsi="Arial"/>
                <w:b w:val="0"/>
                <w:sz w:val="22"/>
              </w:rPr>
              <w:t>Presencia estatal</w:t>
            </w:r>
          </w:p>
        </w:tc>
        <w:tc>
          <w:tcPr>
            <w:tcW w:type="dxa" w:w="4320"/>
            <w:shd w:val="clear" w:color="auto" w:fill="F2F2F2"/>
          </w:tcPr>
          <w:p>
            <w:r>
              <w:rPr>
                <w:rFonts w:ascii="Arial" w:hAnsi="Arial"/>
                <w:b w:val="0"/>
                <w:sz w:val="22"/>
              </w:rPr>
              <w:t>Cubre todo Sonora — incluyendo zonas donde el MS tiene menor penetracion</w:t>
            </w:r>
          </w:p>
        </w:tc>
      </w:tr>
    </w:tbl>
    <w:p/>
    <w:p>
      <w:r>
        <w:rPr>
          <w:rFonts w:ascii="Arial" w:hAnsi="Arial"/>
          <w:b/>
          <w:sz w:val="24"/>
        </w:rPr>
        <w:t>Debilidades criticas de la S54</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A6E"/>
          </w:tcPr>
          <w:p>
            <w:r>
              <w:rPr>
                <w:rFonts w:ascii="Arial" w:hAnsi="Arial"/>
                <w:b/>
                <w:color w:val="FFFFFF"/>
                <w:sz w:val="24"/>
              </w:rPr>
              <w:t>Debilidad</w:t>
            </w:r>
          </w:p>
        </w:tc>
        <w:tc>
          <w:tcPr>
            <w:tcW w:type="dxa" w:w="2880"/>
            <w:shd w:val="clear" w:color="auto" w:fill="1F3A6E"/>
          </w:tcPr>
          <w:p>
            <w:r>
              <w:rPr>
                <w:rFonts w:ascii="Arial" w:hAnsi="Arial"/>
                <w:b/>
                <w:color w:val="FFFFFF"/>
                <w:sz w:val="24"/>
              </w:rPr>
              <w:t>Descripcion</w:t>
            </w:r>
          </w:p>
        </w:tc>
        <w:tc>
          <w:tcPr>
            <w:tcW w:type="dxa" w:w="2880"/>
            <w:shd w:val="clear" w:color="auto" w:fill="1F3A6E"/>
          </w:tcPr>
          <w:p>
            <w:r>
              <w:rPr>
                <w:rFonts w:ascii="Arial" w:hAnsi="Arial"/>
                <w:b/>
                <w:color w:val="FFFFFF"/>
                <w:sz w:val="24"/>
              </w:rPr>
              <w:t>Oportunidad para el MS</w:t>
            </w:r>
          </w:p>
        </w:tc>
      </w:tr>
      <w:tr>
        <w:tc>
          <w:tcPr>
            <w:tcW w:type="dxa" w:w="2880"/>
            <w:shd w:val="clear" w:color="auto" w:fill="F2F2F2"/>
          </w:tcPr>
          <w:p>
            <w:r>
              <w:rPr>
                <w:rFonts w:ascii="Arial" w:hAnsi="Arial"/>
                <w:b w:val="0"/>
                <w:sz w:val="22"/>
              </w:rPr>
              <w:t>Alineada al SNTE nacional</w:t>
            </w:r>
          </w:p>
        </w:tc>
        <w:tc>
          <w:tcPr>
            <w:tcW w:type="dxa" w:w="2880"/>
            <w:shd w:val="clear" w:color="auto" w:fill="F2F2F2"/>
          </w:tcPr>
          <w:p>
            <w:r>
              <w:rPr>
                <w:rFonts w:ascii="Arial" w:hAnsi="Arial"/>
                <w:b w:val="0"/>
                <w:sz w:val="22"/>
              </w:rPr>
              <w:t>Dependiente de la linea entreguista de Alfonso Cepeda</w:t>
            </w:r>
          </w:p>
        </w:tc>
        <w:tc>
          <w:tcPr>
            <w:tcW w:type="dxa" w:w="2880"/>
            <w:shd w:val="clear" w:color="auto" w:fill="F2F2F2"/>
          </w:tcPr>
          <w:p>
            <w:r>
              <w:rPr>
                <w:rFonts w:ascii="Arial" w:hAnsi="Arial"/>
                <w:b w:val="0"/>
                <w:sz w:val="22"/>
              </w:rPr>
              <w:t>El MS puede ofrecer la alternativa independiente</w:t>
            </w:r>
          </w:p>
        </w:tc>
      </w:tr>
      <w:tr>
        <w:tc>
          <w:tcPr>
            <w:tcW w:type="dxa" w:w="2880"/>
            <w:shd w:val="clear" w:color="auto" w:fill="FFFFFF"/>
          </w:tcPr>
          <w:p>
            <w:r>
              <w:rPr>
                <w:rFonts w:ascii="Arial" w:hAnsi="Arial"/>
                <w:b w:val="0"/>
                <w:sz w:val="22"/>
              </w:rPr>
              <w:t>Sin propuesta propia de reforma</w:t>
            </w:r>
          </w:p>
        </w:tc>
        <w:tc>
          <w:tcPr>
            <w:tcW w:type="dxa" w:w="2880"/>
            <w:shd w:val="clear" w:color="auto" w:fill="FFFFFF"/>
          </w:tcPr>
          <w:p>
            <w:r>
              <w:rPr>
                <w:rFonts w:ascii="Arial" w:hAnsi="Arial"/>
                <w:b w:val="0"/>
                <w:sz w:val="22"/>
              </w:rPr>
              <w:t>No ha generado ningun documento tecnico para reformar el ISSSTESON</w:t>
            </w:r>
          </w:p>
        </w:tc>
        <w:tc>
          <w:tcPr>
            <w:tcW w:type="dxa" w:w="2880"/>
            <w:shd w:val="clear" w:color="auto" w:fill="FFFFFF"/>
          </w:tcPr>
          <w:p>
            <w:r>
              <w:rPr>
                <w:rFonts w:ascii="Arial" w:hAnsi="Arial"/>
                <w:b w:val="0"/>
                <w:sz w:val="22"/>
              </w:rPr>
              <w:t>El MS tiene el modelo tecnico (PIP) adaptable al ambito estatal</w:t>
            </w:r>
          </w:p>
        </w:tc>
      </w:tr>
      <w:tr>
        <w:tc>
          <w:tcPr>
            <w:tcW w:type="dxa" w:w="2880"/>
            <w:shd w:val="clear" w:color="auto" w:fill="F2F2F2"/>
          </w:tcPr>
          <w:p>
            <w:r>
              <w:rPr>
                <w:rFonts w:ascii="Arial" w:hAnsi="Arial"/>
                <w:b w:val="0"/>
                <w:sz w:val="22"/>
              </w:rPr>
              <w:t>ISSSTESON en quiebra silenciosa</w:t>
            </w:r>
          </w:p>
        </w:tc>
        <w:tc>
          <w:tcPr>
            <w:tcW w:type="dxa" w:w="2880"/>
            <w:shd w:val="clear" w:color="auto" w:fill="F2F2F2"/>
          </w:tcPr>
          <w:p>
            <w:r>
              <w:rPr>
                <w:rFonts w:ascii="Arial" w:hAnsi="Arial"/>
                <w:b w:val="0"/>
                <w:sz w:val="22"/>
              </w:rPr>
              <w:t>No ha salido a exigir reforma del sistema publicamente</w:t>
            </w:r>
          </w:p>
        </w:tc>
        <w:tc>
          <w:tcPr>
            <w:tcW w:type="dxa" w:w="2880"/>
            <w:shd w:val="clear" w:color="auto" w:fill="F2F2F2"/>
          </w:tcPr>
          <w:p>
            <w:r>
              <w:rPr>
                <w:rFonts w:ascii="Arial" w:hAnsi="Arial"/>
                <w:b w:val="0"/>
                <w:sz w:val="22"/>
              </w:rPr>
              <w:t>El MS puede forzar el debate publico antes que ellos</w:t>
            </w:r>
          </w:p>
        </w:tc>
      </w:tr>
      <w:tr>
        <w:tc>
          <w:tcPr>
            <w:tcW w:type="dxa" w:w="2880"/>
            <w:shd w:val="clear" w:color="auto" w:fill="FFFFFF"/>
          </w:tcPr>
          <w:p>
            <w:r>
              <w:rPr>
                <w:rFonts w:ascii="Arial" w:hAnsi="Arial"/>
                <w:b w:val="0"/>
                <w:sz w:val="22"/>
              </w:rPr>
              <w:t>Generacion Futura desprotegida</w:t>
            </w:r>
          </w:p>
        </w:tc>
        <w:tc>
          <w:tcPr>
            <w:tcW w:type="dxa" w:w="2880"/>
            <w:shd w:val="clear" w:color="auto" w:fill="FFFFFF"/>
          </w:tcPr>
          <w:p>
            <w:r>
              <w:rPr>
                <w:rFonts w:ascii="Arial" w:hAnsi="Arial"/>
                <w:b w:val="0"/>
                <w:sz w:val="22"/>
              </w:rPr>
              <w:t>Sus maestros jovenes tambien estan topados — no los ha organizado</w:t>
            </w:r>
          </w:p>
        </w:tc>
        <w:tc>
          <w:tcPr>
            <w:tcW w:type="dxa" w:w="2880"/>
            <w:shd w:val="clear" w:color="auto" w:fill="FFFFFF"/>
          </w:tcPr>
          <w:p>
            <w:r>
              <w:rPr>
                <w:rFonts w:ascii="Arial" w:hAnsi="Arial"/>
                <w:b w:val="0"/>
                <w:sz w:val="22"/>
              </w:rPr>
              <w:t>Universo de jovenes estatales que el MS puede activar</w:t>
            </w:r>
          </w:p>
        </w:tc>
      </w:tr>
    </w:tbl>
    <w:p>
      <w:r>
        <w:br w:type="page"/>
      </w:r>
    </w:p>
    <w:p>
      <w:r>
        <w:rPr>
          <w:rFonts w:ascii="Arial" w:hAnsi="Arial"/>
          <w:b/>
          <w:color w:val="1F3A6E"/>
          <w:sz w:val="28"/>
        </w:rPr>
        <w:t>PARTE VIII — VECTORES TACTICOS PARA EL MS</w:t>
      </w:r>
    </w:p>
    <w:p/>
    <w:p>
      <w:r>
        <w:rPr>
          <w:rFonts w:ascii="Arial" w:hAnsi="Arial"/>
          <w:b/>
          <w:sz w:val="24"/>
        </w:rPr>
        <w:t>Vector 1: La "Doble Trampa Generacional" — Argumento de unificacion</w:t>
      </w:r>
    </w:p>
    <w:p>
      <w:r>
        <w:rPr>
          <w:rFonts w:ascii="Arial" w:hAnsi="Arial"/>
          <w:sz w:val="24"/>
        </w:rPr>
        <w:t>Para auditorios mixtos (estatales + federalizados):</w:t>
      </w:r>
    </w:p>
    <w:p>
      <w:r>
        <w:rPr>
          <w:rFonts w:ascii="Arial" w:hAnsi="Arial"/>
          <w:i/>
          <w:sz w:val="24"/>
        </w:rPr>
        <w:t>"Tanto los maestros federalizados (10 UMAs en ISSSTE) como los estatales mas jovenes (20 salarios minimos en ISSSTESON) estan TOPADOS por sus propios sistemas. El problema no es solo federal — es un modelo de pensiones disenado para pagar menos. La diferencia es que el Magisterio Sonorense ya tiene la solucion tecnica documentada y presentada ante el Congreso."</w:t>
      </w:r>
    </w:p>
    <w:p/>
    <w:p>
      <w:r>
        <w:rPr>
          <w:rFonts w:ascii="Arial" w:hAnsi="Arial"/>
          <w:b/>
          <w:sz w:val="24"/>
        </w:rPr>
        <w:t>Vector 2: El ISSSTESON en Quiebra — Presion al Gobernador</w:t>
      </w:r>
    </w:p>
    <w:p>
      <w:r>
        <w:rPr>
          <w:rFonts w:ascii="Arial" w:hAnsi="Arial"/>
          <w:sz w:val="24"/>
        </w:rPr>
        <w:t>El deficit de 4,000 millones de pesos del ISSSTESON es una vulnerabilidad politica del Gobierno Estatal. Si el MS lo expone:</w:t>
      </w:r>
    </w:p>
    <w:p>
      <w:pPr>
        <w:pStyle w:val="ListBullet"/>
      </w:pPr>
      <w:r>
        <w:rPr>
          <w:rFonts w:ascii="Arial" w:hAnsi="Arial"/>
          <w:sz w:val="24"/>
        </w:rPr>
        <w:t>Presiona al Gobernador a tomar postura en el debate pensional nacional.</w:t>
      </w:r>
    </w:p>
    <w:p>
      <w:pPr>
        <w:pStyle w:val="ListBullet"/>
      </w:pPr>
      <w:r>
        <w:rPr>
          <w:rFonts w:ascii="Arial" w:hAnsi="Arial"/>
          <w:sz w:val="24"/>
        </w:rPr>
        <w:t>Crea un argumento de urgencia para los 17,000 maestros estatales.</w:t>
      </w:r>
    </w:p>
    <w:p>
      <w:pPr>
        <w:pStyle w:val="ListBullet"/>
      </w:pPr>
      <w:r>
        <w:rPr>
          <w:rFonts w:ascii="Arial" w:hAnsi="Arial"/>
          <w:sz w:val="24"/>
        </w:rPr>
        <w:t>Obliga a Ceballos Corral (S54) a definirse: con el Gobernador o con los maestros?</w:t>
      </w:r>
    </w:p>
    <w:p/>
    <w:p>
      <w:r>
        <w:rPr>
          <w:rFonts w:ascii="Arial" w:hAnsi="Arial"/>
          <w:b/>
          <w:sz w:val="24"/>
        </w:rPr>
        <w:t>Vector 3: La CMAP como Evidencia de Insuficiencia — Argumento de contexto</w:t>
      </w:r>
    </w:p>
    <w:p>
      <w:r>
        <w:rPr>
          <w:rFonts w:ascii="Arial" w:hAnsi="Arial"/>
          <w:i/>
          <w:sz w:val="24"/>
        </w:rPr>
        <w:t>"Cuando el propio sindicato estatal tuvo que crear su propia caja de ahorros porque el ISSSTESON no alcanza, eso nos dice todo sobre el estado del sistema de pensiones en Sonora. Estatales y federalizados enfrentamos el mismo problema: sistemas disenados para que no alcance."</w:t>
      </w:r>
    </w:p>
    <w:p/>
    <w:p>
      <w:r>
        <w:rPr>
          <w:rFonts w:ascii="Arial" w:hAnsi="Arial"/>
          <w:b/>
          <w:sz w:val="24"/>
        </w:rPr>
        <w:t>Vector 4: La S54 como Aliado Latente — No es la CNTE</w:t>
      </w:r>
    </w:p>
    <w:p>
      <w:r>
        <w:rPr>
          <w:rFonts w:ascii="Arial" w:hAnsi="Arial"/>
          <w:sz w:val="24"/>
        </w:rPr>
        <w:t>A diferencia de la CNTE (adversario tactico), la S54 es un aliado pasivo que no se ha activado. Posibles acciones:</w:t>
      </w:r>
    </w:p>
    <w:p>
      <w:pPr>
        <w:pStyle w:val="ListBullet"/>
      </w:pPr>
      <w:r>
        <w:rPr>
          <w:rFonts w:ascii="Arial" w:hAnsi="Arial"/>
          <w:sz w:val="24"/>
        </w:rPr>
        <w:t>Proponer un Foro Tecnico Conjunto sobre pensiones en Sonora (estatales + federalizados).</w:t>
      </w:r>
    </w:p>
    <w:p>
      <w:pPr>
        <w:pStyle w:val="ListBullet"/>
      </w:pPr>
      <w:r>
        <w:rPr>
          <w:rFonts w:ascii="Arial" w:hAnsi="Arial"/>
          <w:sz w:val="24"/>
        </w:rPr>
        <w:t>Enviar comunicacion formal a Ceballos Corral invitandolo a un posicionamiento conjunto sobre pensiones dignas en Sonora.</w:t>
      </w:r>
    </w:p>
    <w:p>
      <w:pPr>
        <w:pStyle w:val="ListBullet"/>
      </w:pPr>
      <w:r>
        <w:rPr>
          <w:rFonts w:ascii="Arial" w:hAnsi="Arial"/>
          <w:sz w:val="24"/>
        </w:rPr>
        <w:t>Crear la narrativa: "Magisterio Sonorense unido — estatales y federalizados — merece pensiones dignas".</w:t>
      </w:r>
    </w:p>
    <w:p>
      <w:r>
        <w:br w:type="page"/>
      </w:r>
    </w:p>
    <w:p>
      <w:r>
        <w:rPr>
          <w:rFonts w:ascii="Arial" w:hAnsi="Arial"/>
          <w:b/>
          <w:color w:val="1F3A6E"/>
          <w:sz w:val="28"/>
        </w:rPr>
        <w:t>PARTE IX — EVALUACION DE RIESGO</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A6E"/>
          </w:tcPr>
          <w:p>
            <w:r>
              <w:rPr>
                <w:rFonts w:ascii="Arial" w:hAnsi="Arial"/>
                <w:b/>
                <w:color w:val="FFFFFF"/>
                <w:sz w:val="24"/>
              </w:rPr>
              <w:t>Riesgo</w:t>
            </w:r>
          </w:p>
        </w:tc>
        <w:tc>
          <w:tcPr>
            <w:tcW w:type="dxa" w:w="2880"/>
            <w:shd w:val="clear" w:color="auto" w:fill="1F3A6E"/>
          </w:tcPr>
          <w:p>
            <w:r>
              <w:rPr>
                <w:rFonts w:ascii="Arial" w:hAnsi="Arial"/>
                <w:b/>
                <w:color w:val="FFFFFF"/>
                <w:sz w:val="24"/>
              </w:rPr>
              <w:t>Nivel</w:t>
            </w:r>
          </w:p>
        </w:tc>
        <w:tc>
          <w:tcPr>
            <w:tcW w:type="dxa" w:w="2880"/>
            <w:shd w:val="clear" w:color="auto" w:fill="1F3A6E"/>
          </w:tcPr>
          <w:p>
            <w:r>
              <w:rPr>
                <w:rFonts w:ascii="Arial" w:hAnsi="Arial"/>
                <w:b/>
                <w:color w:val="FFFFFF"/>
                <w:sz w:val="24"/>
              </w:rPr>
              <w:t>Descripcion</w:t>
            </w:r>
          </w:p>
        </w:tc>
      </w:tr>
      <w:tr>
        <w:tc>
          <w:tcPr>
            <w:tcW w:type="dxa" w:w="2880"/>
            <w:shd w:val="clear" w:color="auto" w:fill="F2F2F2"/>
          </w:tcPr>
          <w:p>
            <w:r>
              <w:rPr>
                <w:rFonts w:ascii="Arial" w:hAnsi="Arial"/>
                <w:b w:val="0"/>
                <w:sz w:val="22"/>
              </w:rPr>
              <w:t>S54 permanece neutral y MS no gana ese universo</w:t>
            </w:r>
          </w:p>
        </w:tc>
        <w:tc>
          <w:tcPr>
            <w:tcW w:type="dxa" w:w="2880"/>
            <w:shd w:val="clear" w:color="auto" w:fill="F2F2F2"/>
          </w:tcPr>
          <w:p>
            <w:r>
              <w:rPr>
                <w:rFonts w:ascii="Arial" w:hAnsi="Arial"/>
                <w:b w:val="0"/>
                <w:sz w:val="22"/>
              </w:rPr>
              <w:t>MEDIO</w:t>
            </w:r>
          </w:p>
        </w:tc>
        <w:tc>
          <w:tcPr>
            <w:tcW w:type="dxa" w:w="2880"/>
            <w:shd w:val="clear" w:color="auto" w:fill="F2F2F2"/>
          </w:tcPr>
          <w:p>
            <w:r>
              <w:rPr>
                <w:rFonts w:ascii="Arial" w:hAnsi="Arial"/>
                <w:b w:val="0"/>
                <w:sz w:val="22"/>
              </w:rPr>
              <w:t>Sin acercamiento activo, los 17,000 estatales quedan fuera del movimiento</w:t>
            </w:r>
          </w:p>
        </w:tc>
      </w:tr>
      <w:tr>
        <w:tc>
          <w:tcPr>
            <w:tcW w:type="dxa" w:w="2880"/>
            <w:shd w:val="clear" w:color="auto" w:fill="FFFFFF"/>
          </w:tcPr>
          <w:p>
            <w:r>
              <w:rPr>
                <w:rFonts w:ascii="Arial" w:hAnsi="Arial"/>
                <w:b w:val="0"/>
                <w:sz w:val="22"/>
              </w:rPr>
              <w:t>Gobierno usa a la S54 para dividir al magisterio sonorense</w:t>
            </w:r>
          </w:p>
        </w:tc>
        <w:tc>
          <w:tcPr>
            <w:tcW w:type="dxa" w:w="2880"/>
            <w:shd w:val="clear" w:color="auto" w:fill="FFFFFF"/>
          </w:tcPr>
          <w:p>
            <w:r>
              <w:rPr>
                <w:rFonts w:ascii="Arial" w:hAnsi="Arial"/>
                <w:b w:val="0"/>
                <w:sz w:val="22"/>
              </w:rPr>
              <w:t>ALTO</w:t>
            </w:r>
          </w:p>
        </w:tc>
        <w:tc>
          <w:tcPr>
            <w:tcW w:type="dxa" w:w="2880"/>
            <w:shd w:val="clear" w:color="auto" w:fill="FFFFFF"/>
          </w:tcPr>
          <w:p>
            <w:r>
              <w:rPr>
                <w:rFonts w:ascii="Arial" w:hAnsi="Arial"/>
                <w:b w:val="0"/>
                <w:sz w:val="22"/>
              </w:rPr>
              <w:t>El Gobernador puede negociar con la S54 para aislar politicamente al MS federal</w:t>
            </w:r>
          </w:p>
        </w:tc>
      </w:tr>
      <w:tr>
        <w:tc>
          <w:tcPr>
            <w:tcW w:type="dxa" w:w="2880"/>
            <w:shd w:val="clear" w:color="auto" w:fill="F2F2F2"/>
          </w:tcPr>
          <w:p>
            <w:r>
              <w:rPr>
                <w:rFonts w:ascii="Arial" w:hAnsi="Arial"/>
                <w:b w:val="0"/>
                <w:sz w:val="22"/>
              </w:rPr>
              <w:t>ISSSTESON quiebra sin que el MS lo capitalice</w:t>
            </w:r>
          </w:p>
        </w:tc>
        <w:tc>
          <w:tcPr>
            <w:tcW w:type="dxa" w:w="2880"/>
            <w:shd w:val="clear" w:color="auto" w:fill="F2F2F2"/>
          </w:tcPr>
          <w:p>
            <w:r>
              <w:rPr>
                <w:rFonts w:ascii="Arial" w:hAnsi="Arial"/>
                <w:b w:val="0"/>
                <w:sz w:val="22"/>
              </w:rPr>
              <w:t>MEDIO</w:t>
            </w:r>
          </w:p>
        </w:tc>
        <w:tc>
          <w:tcPr>
            <w:tcW w:type="dxa" w:w="2880"/>
            <w:shd w:val="clear" w:color="auto" w:fill="F2F2F2"/>
          </w:tcPr>
          <w:p>
            <w:r>
              <w:rPr>
                <w:rFonts w:ascii="Arial" w:hAnsi="Arial"/>
                <w:b w:val="0"/>
                <w:sz w:val="22"/>
              </w:rPr>
              <w:t>Si quiebra primero, el Gobierno controla la narrativa del rescate</w:t>
            </w:r>
          </w:p>
        </w:tc>
      </w:tr>
      <w:tr>
        <w:tc>
          <w:tcPr>
            <w:tcW w:type="dxa" w:w="2880"/>
            <w:shd w:val="clear" w:color="auto" w:fill="FFFFFF"/>
          </w:tcPr>
          <w:p>
            <w:r>
              <w:rPr>
                <w:rFonts w:ascii="Arial" w:hAnsi="Arial"/>
                <w:b w:val="0"/>
                <w:sz w:val="22"/>
              </w:rPr>
              <w:t>Jovenes estatales (G3) se organizan independientemente</w:t>
            </w:r>
          </w:p>
        </w:tc>
        <w:tc>
          <w:tcPr>
            <w:tcW w:type="dxa" w:w="2880"/>
            <w:shd w:val="clear" w:color="auto" w:fill="FFFFFF"/>
          </w:tcPr>
          <w:p>
            <w:r>
              <w:rPr>
                <w:rFonts w:ascii="Arial" w:hAnsi="Arial"/>
                <w:b w:val="0"/>
                <w:sz w:val="22"/>
              </w:rPr>
              <w:t>BAJO</w:t>
            </w:r>
          </w:p>
        </w:tc>
        <w:tc>
          <w:tcPr>
            <w:tcW w:type="dxa" w:w="2880"/>
            <w:shd w:val="clear" w:color="auto" w:fill="FFFFFF"/>
          </w:tcPr>
          <w:p>
            <w:r>
              <w:rPr>
                <w:rFonts w:ascii="Arial" w:hAnsi="Arial"/>
                <w:b w:val="0"/>
                <w:sz w:val="22"/>
              </w:rPr>
              <w:t>Poco probable sin catalizador externo — el MS puede ser ese catalizador</w:t>
            </w:r>
          </w:p>
        </w:tc>
      </w:tr>
    </w:tbl>
    <w:p>
      <w:r>
        <w:br w:type="page"/>
      </w:r>
    </w:p>
    <w:p>
      <w:r>
        <w:rPr>
          <w:rFonts w:ascii="Arial" w:hAnsi="Arial"/>
          <w:b/>
          <w:color w:val="1F3A6E"/>
          <w:sz w:val="28"/>
        </w:rPr>
        <w:t>CONCLUSION EJECUTIVA</w:t>
      </w:r>
    </w:p>
    <w:p/>
    <w:p>
      <w:r>
        <w:rPr>
          <w:rFonts w:ascii="Arial" w:hAnsi="Arial"/>
          <w:sz w:val="24"/>
        </w:rPr>
        <w:t>La Seccion 54 y el ISSSTESON no son actores hostiles al Magisterio Sonorense — son el espejo estatal del mismo problema federal. Los 17,000 maestros estatales de Sonora enfrentan un sistema de pensiones en crisis estructural, con una generacion joven topada a 20 salarios minimos, y un sindicato que creo su propia caja de ahorro porque el ISSSTESON no alcanza.</w:t>
      </w:r>
    </w:p>
    <w:p/>
    <w:p>
      <w:r>
        <w:rPr>
          <w:rFonts w:ascii="Arial" w:hAnsi="Arial"/>
          <w:sz w:val="24"/>
        </w:rPr>
        <w:t>El MS tiene la oportunidad historica de construir la narrativa mas poderosa del magisterio sonorense: "No importa si eres estatal o federalizado — en Sonora, ningun maestro tiene pension digna. El Magisterio Sonorense es el unico movimiento con soluciones tecnicas para TODOS."</w:t>
      </w:r>
    </w:p>
    <w:p/>
    <w:p>
      <w:r>
        <w:rPr>
          <w:rFonts w:ascii="Arial" w:hAnsi="Arial"/>
          <w:b/>
          <w:i/>
          <w:sz w:val="24"/>
        </w:rPr>
        <w:t>TACTICA RECOMENDADA: Tender el puente hacia la S54 antes de que el Gobierno del Estado lo use para dividir. El MS gana mas con 17,000 aliados estatales que con 17,000 neutrales.</w:t>
      </w:r>
    </w:p>
    <w:p/>
    <w:p>
      <w:r>
        <w:t>_________________________________________________________________</w:t>
      </w:r>
    </w:p>
    <w:p>
      <w:r>
        <w:rPr>
          <w:rFonts w:ascii="Arial" w:hAnsi="Arial"/>
          <w:sz w:val="24"/>
        </w:rPr>
        <w:t>Reporte elaborado para uso estrategico exclusivo del CORE del Magisterio Sonorense</w:t>
      </w:r>
    </w:p>
    <w:p>
      <w:r>
        <w:rPr>
          <w:rFonts w:ascii="Arial" w:hAnsi="Arial"/>
          <w:sz w:val="24"/>
        </w:rPr>
        <w:t>Fecha: 04/05/2026 | Fuentes: snte54.com.mx, sonora.gob.mx (ISSSTESON), radiosonora.com.mx, oem.com.mx, elfinanciero.com.mx, staus.mx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