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i/>
          <w:color w:val="666666"/>
          <w:sz w:val="20"/>
        </w:rPr>
        <w:t>Hermosillo, Sonora — 9 de mayo de 2026</w:t>
      </w:r>
    </w:p>
    <w:p>
      <w:pPr>
        <w:spacing w:after="80"/>
      </w:pPr>
    </w:p>
    <w:p>
      <w:pPr>
        <w:jc w:val="left"/>
      </w:pPr>
      <w:r>
        <w:rPr>
          <w:rFonts w:ascii="Arial" w:hAnsi="Arial"/>
          <w:b/>
          <w:sz w:val="24"/>
        </w:rPr>
        <w:t>Para:</w:t>
      </w:r>
      <w:r>
        <w:rPr>
          <w:rFonts w:ascii="Arial" w:hAnsi="Arial"/>
          <w:sz w:val="24"/>
        </w:rPr>
        <w:t xml:space="preserve">  Presidenta Claudia Sheinbaum Pardo</w:t>
      </w:r>
    </w:p>
    <w:p>
      <w:pPr>
        <w:jc w:val="left"/>
      </w:pPr>
      <w:r>
        <w:rPr>
          <w:rFonts w:ascii="Arial" w:hAnsi="Arial"/>
          <w:b/>
          <w:sz w:val="24"/>
        </w:rPr>
        <w:t>De:</w:t>
      </w:r>
      <w:r>
        <w:rPr>
          <w:rFonts w:ascii="Arial" w:hAnsi="Arial"/>
          <w:sz w:val="24"/>
        </w:rPr>
        <w:t xml:space="preserve">  Magisterio Sonorense — Maestros Federalizados de Sonora</w:t>
      </w:r>
    </w:p>
    <w:p>
      <w:pPr>
        <w:jc w:val="left"/>
      </w:pPr>
      <w:r>
        <w:rPr>
          <w:rFonts w:ascii="Arial" w:hAnsi="Arial"/>
          <w:b/>
          <w:sz w:val="24"/>
        </w:rPr>
        <w:t>Asunto:</w:t>
      </w:r>
      <w:r>
        <w:rPr>
          <w:rFonts w:ascii="Arial" w:hAnsi="Arial"/>
          <w:sz w:val="24"/>
        </w:rPr>
        <w:t xml:space="preserve">  Propuesta Tecnica para la Reforma del Sistema de Pensiones ISSSTE</w:t>
      </w:r>
    </w:p>
    <w:p>
      <w:pPr>
        <w:spacing w:after="160"/>
      </w:pPr>
    </w:p>
    <w:p>
      <w:pPr>
        <w:jc w:val="center"/>
      </w:pPr>
      <w:r>
        <w:rPr>
          <w:color w:val="1F3A6E"/>
        </w:rPr>
        <w:t>______________________________________________________________________</w:t>
      </w:r>
    </w:p>
    <w:p>
      <w:pPr>
        <w:spacing w:after="160"/>
      </w:pPr>
    </w:p>
    <w:p>
      <w:pPr>
        <w:jc w:val="center"/>
      </w:pPr>
      <w:r>
        <w:rPr>
          <w:rFonts w:ascii="Arial" w:hAnsi="Arial"/>
          <w:b/>
          <w:color w:val="1F3A6E"/>
          <w:sz w:val="40"/>
        </w:rPr>
        <w:t>RESUMEN EJECUTIVO</w:t>
      </w:r>
    </w:p>
    <w:p>
      <w:pPr>
        <w:jc w:val="center"/>
      </w:pPr>
      <w:r>
        <w:rPr>
          <w:rFonts w:ascii="Arial" w:hAnsi="Arial"/>
          <w:b/>
          <w:color w:val="2E5E8E"/>
          <w:sz w:val="28"/>
        </w:rPr>
        <w:t>Propuesta de Reforma al Techo Pensional del ISSSTE</w:t>
      </w:r>
    </w:p>
    <w:p>
      <w:pPr>
        <w:jc w:val="center"/>
      </w:pPr>
      <w:r>
        <w:rPr>
          <w:rFonts w:ascii="Arial" w:hAnsi="Arial"/>
          <w:color w:val="2E5E8E"/>
          <w:sz w:val="26"/>
        </w:rPr>
        <w:t>Homologacion al Precedente IMSS — Acuerdo 064/2020</w:t>
      </w:r>
    </w:p>
    <w:p>
      <w:pPr>
        <w:spacing w:after="160"/>
      </w:pPr>
    </w:p>
    <w:p>
      <w:pPr>
        <w:jc w:val="center"/>
      </w:pPr>
      <w:r>
        <w:rPr>
          <w:rFonts w:ascii="Arial" w:hAnsi="Arial"/>
          <w:b/>
          <w:sz w:val="24"/>
        </w:rPr>
        <w:t>Magisterio Sonorense</w:t>
      </w:r>
    </w:p>
    <w:p>
      <w:pPr>
        <w:jc w:val="center"/>
      </w:pPr>
      <w:r>
        <w:rPr>
          <w:rFonts w:ascii="Arial" w:hAnsi="Arial"/>
          <w:i/>
          <w:color w:val="555555"/>
          <w:sz w:val="22"/>
        </w:rPr>
        <w:t>Representacion de los Maestros Federalizados del Estado de Sonora</w:t>
      </w:r>
    </w:p>
    <w:p>
      <w:pPr>
        <w:spacing w:after="120"/>
      </w:pPr>
    </w:p>
    <w:p>
      <w:pPr>
        <w:jc w:val="center"/>
      </w:pPr>
      <w:r>
        <w:rPr>
          <w:rFonts w:ascii="Arial" w:hAnsi="Arial"/>
          <w:color w:val="555555"/>
          <w:sz w:val="22"/>
        </w:rPr>
        <w:t>Mayo 2026</w:t>
      </w:r>
    </w:p>
    <w:p>
      <w:r>
        <w:br w:type="page"/>
      </w:r>
    </w:p>
    <w:p>
      <w:r>
        <w:rPr>
          <w:rFonts w:ascii="Arial" w:hAnsi="Arial"/>
          <w:b/>
          <w:color w:val="1F3A6E"/>
          <w:sz w:val="28"/>
        </w:rPr>
        <w:t>I. EL PROBLEMA: LA BRECHA PENSIONAL QUE AFECTA A LOS MAESTROS DE SONORA</w:t>
      </w:r>
    </w:p>
    <w:p>
      <w:pPr>
        <w:spacing w:after="80"/>
      </w:pPr>
    </w:p>
    <w:p>
      <w:r>
        <w:rPr>
          <w:rFonts w:ascii="Arial" w:hAnsi="Arial"/>
          <w:sz w:val="24"/>
        </w:rPr>
        <w:t>Los maestros federalizados de Sonora enfrentan una inequidad estructural en el calculo de sus pensiones: la Ley del ISSSTE de 2007 establece un techo maximo de 10 Unidades de Medida y Actualizacion (UMAs) para el calculo de pensiones de jubilacion. Este techo implica que sin importar los anos de servicio o el salario cotizado, la pension maxima que puede recibir un maestro federalizado esta artificialmente limitada.</w:t>
      </w:r>
    </w:p>
    <w:p>
      <w:pPr>
        <w:spacing w:after="120"/>
      </w:pPr>
    </w:p>
    <w:p>
      <w:r>
        <w:rPr>
          <w:rFonts w:ascii="Arial" w:hAnsi="Arial"/>
          <w:b/>
          <w:sz w:val="24"/>
        </w:rPr>
        <w:t>Los tres datos que definen el problema:</w:t>
      </w:r>
    </w:p>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A6E"/>
          </w:tcPr>
          <w:p>
            <w:r>
              <w:rPr>
                <w:rFonts w:ascii="Arial" w:hAnsi="Arial"/>
                <w:b/>
                <w:color w:val="FFFFFF"/>
                <w:sz w:val="22"/>
              </w:rPr>
            </w:r>
          </w:p>
        </w:tc>
        <w:tc>
          <w:tcPr>
            <w:tcW w:type="dxa" w:w="3135"/>
            <w:shd w:val="clear" w:color="auto" w:fill="1F3A6E"/>
          </w:tcPr>
          <w:p>
            <w:r>
              <w:rPr>
                <w:rFonts w:ascii="Arial" w:hAnsi="Arial"/>
                <w:b/>
                <w:color w:val="FFFFFF"/>
                <w:sz w:val="22"/>
              </w:rPr>
              <w:t>ISSSTE (Maestros Federalizados)</w:t>
            </w:r>
          </w:p>
        </w:tc>
        <w:tc>
          <w:tcPr>
            <w:tcW w:type="dxa" w:w="3135"/>
            <w:shd w:val="clear" w:color="auto" w:fill="1F3A6E"/>
          </w:tcPr>
          <w:p>
            <w:r>
              <w:rPr>
                <w:rFonts w:ascii="Arial" w:hAnsi="Arial"/>
                <w:b/>
                <w:color w:val="FFFFFF"/>
                <w:sz w:val="22"/>
              </w:rPr>
              <w:t>IMSS (Precedente ya existente)</w:t>
            </w:r>
          </w:p>
        </w:tc>
      </w:tr>
      <w:tr>
        <w:tc>
          <w:tcPr>
            <w:tcW w:type="dxa" w:w="3135"/>
            <w:shd w:val="clear" w:color="auto" w:fill="F2F2F2"/>
          </w:tcPr>
          <w:p>
            <w:r>
              <w:rPr>
                <w:rFonts w:ascii="Arial" w:hAnsi="Arial"/>
                <w:sz w:val="22"/>
              </w:rPr>
              <w:t>Techo pensional</w:t>
            </w:r>
          </w:p>
        </w:tc>
        <w:tc>
          <w:tcPr>
            <w:tcW w:type="dxa" w:w="3135"/>
            <w:shd w:val="clear" w:color="auto" w:fill="F2F2F2"/>
          </w:tcPr>
          <w:p>
            <w:r>
              <w:rPr>
                <w:rFonts w:ascii="Arial" w:hAnsi="Arial"/>
                <w:sz w:val="22"/>
              </w:rPr>
              <w:t>10 UMAs = ~$27,400 pesos mensuales</w:t>
            </w:r>
          </w:p>
        </w:tc>
        <w:tc>
          <w:tcPr>
            <w:tcW w:type="dxa" w:w="3135"/>
            <w:shd w:val="clear" w:color="auto" w:fill="F2F2F2"/>
          </w:tcPr>
          <w:p>
            <w:r>
              <w:rPr>
                <w:rFonts w:ascii="Arial" w:hAnsi="Arial"/>
                <w:sz w:val="22"/>
              </w:rPr>
              <w:t>25 UMAs = ~$68,500 pesos mensuales</w:t>
            </w:r>
          </w:p>
        </w:tc>
      </w:tr>
      <w:tr>
        <w:tc>
          <w:tcPr>
            <w:tcW w:type="dxa" w:w="3135"/>
            <w:shd w:val="clear" w:color="auto" w:fill="FFFFFF"/>
          </w:tcPr>
          <w:p>
            <w:r>
              <w:rPr>
                <w:rFonts w:ascii="Arial" w:hAnsi="Arial"/>
                <w:sz w:val="22"/>
              </w:rPr>
              <w:t>Base legal</w:t>
            </w:r>
          </w:p>
        </w:tc>
        <w:tc>
          <w:tcPr>
            <w:tcW w:type="dxa" w:w="3135"/>
            <w:shd w:val="clear" w:color="auto" w:fill="FFFFFF"/>
          </w:tcPr>
          <w:p>
            <w:r>
              <w:rPr>
                <w:rFonts w:ascii="Arial" w:hAnsi="Arial"/>
                <w:sz w:val="22"/>
              </w:rPr>
              <w:t>Ley ISSSTE 2007 — Articulo 10</w:t>
            </w:r>
          </w:p>
        </w:tc>
        <w:tc>
          <w:tcPr>
            <w:tcW w:type="dxa" w:w="3135"/>
            <w:shd w:val="clear" w:color="auto" w:fill="FFFFFF"/>
          </w:tcPr>
          <w:p>
            <w:r>
              <w:rPr>
                <w:rFonts w:ascii="Arial" w:hAnsi="Arial"/>
                <w:sz w:val="22"/>
              </w:rPr>
              <w:t>Acuerdo IMSS 064/2020 — vigente</w:t>
            </w:r>
          </w:p>
        </w:tc>
      </w:tr>
      <w:tr>
        <w:tc>
          <w:tcPr>
            <w:tcW w:type="dxa" w:w="3135"/>
            <w:shd w:val="clear" w:color="auto" w:fill="F2F2F2"/>
          </w:tcPr>
          <w:p>
            <w:r>
              <w:rPr>
                <w:rFonts w:ascii="Arial" w:hAnsi="Arial"/>
                <w:sz w:val="22"/>
              </w:rPr>
              <w:t>Trabajadores afectados en Sonora</w:t>
            </w:r>
          </w:p>
        </w:tc>
        <w:tc>
          <w:tcPr>
            <w:tcW w:type="dxa" w:w="3135"/>
            <w:shd w:val="clear" w:color="auto" w:fill="F2F2F2"/>
          </w:tcPr>
          <w:p>
            <w:r>
              <w:rPr>
                <w:rFonts w:ascii="Arial" w:hAnsi="Arial"/>
                <w:sz w:val="22"/>
              </w:rPr>
              <w:t>~40,000 maestros federalizados</w:t>
            </w:r>
          </w:p>
        </w:tc>
        <w:tc>
          <w:tcPr>
            <w:tcW w:type="dxa" w:w="3135"/>
            <w:shd w:val="clear" w:color="auto" w:fill="F2F2F2"/>
          </w:tcPr>
          <w:p>
            <w:r>
              <w:rPr>
                <w:rFonts w:ascii="Arial" w:hAnsi="Arial"/>
                <w:sz w:val="22"/>
              </w:rPr>
              <w:t>Ya resuelto para trabajadores IMSS</w:t>
            </w:r>
          </w:p>
        </w:tc>
      </w:tr>
    </w:tbl>
    <w:p>
      <w:pPr>
        <w:spacing w:after="160"/>
      </w:pPr>
    </w:p>
    <w:p>
      <w:r>
        <w:rPr>
          <w:rFonts w:ascii="Arial" w:hAnsi="Arial"/>
          <w:i/>
          <w:color w:val="CC0000"/>
          <w:sz w:val="24"/>
        </w:rPr>
        <w:t>IMPACTO CONCRETO: Un maestro con 30 anos de servicio y salario de $45,000 mensuales recibe una pension maxima de $27,400 pesos bajo el esquema actual. El mismo perfil bajo el esquema IMSS recibiria hasta $45,000 pesos. La diferencia: $17,600 pesos menos al mes por ser maestro y no trabajador del IMSS.</w:t>
      </w:r>
    </w:p>
    <w:p>
      <w:pPr>
        <w:spacing w:after="120"/>
      </w:pPr>
    </w:p>
    <w:p>
      <w:r>
        <w:rPr>
          <w:rFonts w:ascii="Arial" w:hAnsi="Arial"/>
          <w:sz w:val="24"/>
        </w:rPr>
        <w:t>Esta inequidad no tiene justificacion tecnica ni constitucional. El propio gobierno federal ya resolvio el problema para los trabajadores del IMSS mediante el Acuerdo 064/2020. Los maestros federalizados, que son trabajadores al servicio del Estado con igual dignidad constitucional, no han recibido la misma atencion.</w:t>
      </w:r>
    </w:p>
    <w:p>
      <w:r>
        <w:br w:type="page"/>
      </w:r>
    </w:p>
    <w:p>
      <w:r>
        <w:rPr>
          <w:rFonts w:ascii="Arial" w:hAnsi="Arial"/>
          <w:b/>
          <w:color w:val="1F3A6E"/>
          <w:sz w:val="28"/>
        </w:rPr>
        <w:t>II. LA PROPUESTA: PENSION INTEGRADORA PROPORCIONAL (PIP)</w:t>
      </w:r>
    </w:p>
    <w:p>
      <w:pPr>
        <w:spacing w:after="80"/>
      </w:pPr>
    </w:p>
    <w:p>
      <w:r>
        <w:rPr>
          <w:rFonts w:ascii="Arial" w:hAnsi="Arial"/>
          <w:b/>
          <w:sz w:val="24"/>
        </w:rPr>
        <w:t>Que es la PIP:</w:t>
      </w:r>
    </w:p>
    <w:p>
      <w:r>
        <w:rPr>
          <w:rFonts w:ascii="Arial" w:hAnsi="Arial"/>
          <w:sz w:val="24"/>
        </w:rPr>
        <w:t>La Pension Integradora Proporcional (PIP) es un mecanismo de calculo que complementa la pension base del ISSSTE con los recursos acumulados en la cuenta individual del trabajador (Afore), garantizando que el monto total se acerque al ultimo salario percibido — sin topar artificialmente la pension a 10 UMAs.</w:t>
      </w:r>
    </w:p>
    <w:p>
      <w:pPr>
        <w:spacing w:after="120"/>
      </w:pPr>
    </w:p>
    <w:p>
      <w:r>
        <w:rPr>
          <w:rFonts w:ascii="Arial" w:hAnsi="Arial"/>
          <w:b/>
          <w:sz w:val="24"/>
        </w:rPr>
        <w:t>Los 5 pilares de la propuesta:</w:t>
      </w:r>
    </w:p>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A6E"/>
          </w:tcPr>
          <w:p>
            <w:r>
              <w:rPr>
                <w:rFonts w:ascii="Arial" w:hAnsi="Arial"/>
                <w:b/>
                <w:color w:val="FFFFFF"/>
                <w:sz w:val="22"/>
              </w:rPr>
              <w:t>#</w:t>
            </w:r>
          </w:p>
        </w:tc>
        <w:tc>
          <w:tcPr>
            <w:tcW w:type="dxa" w:w="3135"/>
            <w:shd w:val="clear" w:color="auto" w:fill="1F3A6E"/>
          </w:tcPr>
          <w:p>
            <w:r>
              <w:rPr>
                <w:rFonts w:ascii="Arial" w:hAnsi="Arial"/>
                <w:b/>
                <w:color w:val="FFFFFF"/>
                <w:sz w:val="22"/>
              </w:rPr>
              <w:t>Pilar</w:t>
            </w:r>
          </w:p>
        </w:tc>
        <w:tc>
          <w:tcPr>
            <w:tcW w:type="dxa" w:w="3135"/>
            <w:shd w:val="clear" w:color="auto" w:fill="1F3A6E"/>
          </w:tcPr>
          <w:p>
            <w:r>
              <w:rPr>
                <w:rFonts w:ascii="Arial" w:hAnsi="Arial"/>
                <w:b/>
                <w:color w:val="FFFFFF"/>
                <w:sz w:val="22"/>
              </w:rPr>
              <w:t>Detalle</w:t>
            </w:r>
          </w:p>
        </w:tc>
      </w:tr>
      <w:tr>
        <w:tc>
          <w:tcPr>
            <w:tcW w:type="dxa" w:w="3135"/>
            <w:shd w:val="clear" w:color="auto" w:fill="F2F2F2"/>
          </w:tcPr>
          <w:p>
            <w:r>
              <w:rPr>
                <w:rFonts w:ascii="Arial" w:hAnsi="Arial"/>
                <w:sz w:val="22"/>
              </w:rPr>
              <w:t>1</w:t>
            </w:r>
          </w:p>
        </w:tc>
        <w:tc>
          <w:tcPr>
            <w:tcW w:type="dxa" w:w="3135"/>
            <w:shd w:val="clear" w:color="auto" w:fill="F2F2F2"/>
          </w:tcPr>
          <w:p>
            <w:r>
              <w:rPr>
                <w:rFonts w:ascii="Arial" w:hAnsi="Arial"/>
                <w:sz w:val="22"/>
              </w:rPr>
              <w:t>Homologacion del techo UMA</w:t>
            </w:r>
          </w:p>
        </w:tc>
        <w:tc>
          <w:tcPr>
            <w:tcW w:type="dxa" w:w="3135"/>
            <w:shd w:val="clear" w:color="auto" w:fill="F2F2F2"/>
          </w:tcPr>
          <w:p>
            <w:r>
              <w:rPr>
                <w:rFonts w:ascii="Arial" w:hAnsi="Arial"/>
                <w:sz w:val="22"/>
              </w:rPr>
              <w:t>Elevar el techo de 10 a 25 UMAs, igualando el precedente IMSS Acuerdo 064/2020</w:t>
            </w:r>
          </w:p>
        </w:tc>
      </w:tr>
      <w:tr>
        <w:tc>
          <w:tcPr>
            <w:tcW w:type="dxa" w:w="3135"/>
            <w:shd w:val="clear" w:color="auto" w:fill="FFFFFF"/>
          </w:tcPr>
          <w:p>
            <w:r>
              <w:rPr>
                <w:rFonts w:ascii="Arial" w:hAnsi="Arial"/>
                <w:sz w:val="22"/>
              </w:rPr>
              <w:t>2</w:t>
            </w:r>
          </w:p>
        </w:tc>
        <w:tc>
          <w:tcPr>
            <w:tcW w:type="dxa" w:w="3135"/>
            <w:shd w:val="clear" w:color="auto" w:fill="FFFFFF"/>
          </w:tcPr>
          <w:p>
            <w:r>
              <w:rPr>
                <w:rFonts w:ascii="Arial" w:hAnsi="Arial"/>
                <w:sz w:val="22"/>
              </w:rPr>
              <w:t>Integracion de la cuenta individual</w:t>
            </w:r>
          </w:p>
        </w:tc>
        <w:tc>
          <w:tcPr>
            <w:tcW w:type="dxa" w:w="3135"/>
            <w:shd w:val="clear" w:color="auto" w:fill="FFFFFF"/>
          </w:tcPr>
          <w:p>
            <w:r>
              <w:rPr>
                <w:rFonts w:ascii="Arial" w:hAnsi="Arial"/>
                <w:sz w:val="22"/>
              </w:rPr>
              <w:t>La Afore del trabajador complementa la pension base de forma proporcional a los anos cotizados</w:t>
            </w:r>
          </w:p>
        </w:tc>
      </w:tr>
      <w:tr>
        <w:tc>
          <w:tcPr>
            <w:tcW w:type="dxa" w:w="3135"/>
            <w:shd w:val="clear" w:color="auto" w:fill="F2F2F2"/>
          </w:tcPr>
          <w:p>
            <w:r>
              <w:rPr>
                <w:rFonts w:ascii="Arial" w:hAnsi="Arial"/>
                <w:sz w:val="22"/>
              </w:rPr>
              <w:t>3</w:t>
            </w:r>
          </w:p>
        </w:tc>
        <w:tc>
          <w:tcPr>
            <w:tcW w:type="dxa" w:w="3135"/>
            <w:shd w:val="clear" w:color="auto" w:fill="F2F2F2"/>
          </w:tcPr>
          <w:p>
            <w:r>
              <w:rPr>
                <w:rFonts w:ascii="Arial" w:hAnsi="Arial"/>
                <w:sz w:val="22"/>
              </w:rPr>
              <w:t>Viabilidad fiscal comprobada</w:t>
            </w:r>
          </w:p>
        </w:tc>
        <w:tc>
          <w:tcPr>
            <w:tcW w:type="dxa" w:w="3135"/>
            <w:shd w:val="clear" w:color="auto" w:fill="F2F2F2"/>
          </w:tcPr>
          <w:p>
            <w:r>
              <w:rPr>
                <w:rFonts w:ascii="Arial" w:hAnsi="Arial"/>
                <w:sz w:val="22"/>
              </w:rPr>
              <w:t>La PIP no requiere nuevo gasto federal — usa recursos ya existentes en cuentas individuales</w:t>
            </w:r>
          </w:p>
        </w:tc>
      </w:tr>
      <w:tr>
        <w:tc>
          <w:tcPr>
            <w:tcW w:type="dxa" w:w="3135"/>
            <w:shd w:val="clear" w:color="auto" w:fill="FFFFFF"/>
          </w:tcPr>
          <w:p>
            <w:r>
              <w:rPr>
                <w:rFonts w:ascii="Arial" w:hAnsi="Arial"/>
                <w:sz w:val="22"/>
              </w:rPr>
              <w:t>4</w:t>
            </w:r>
          </w:p>
        </w:tc>
        <w:tc>
          <w:tcPr>
            <w:tcW w:type="dxa" w:w="3135"/>
            <w:shd w:val="clear" w:color="auto" w:fill="FFFFFF"/>
          </w:tcPr>
          <w:p>
            <w:r>
              <w:rPr>
                <w:rFonts w:ascii="Arial" w:hAnsi="Arial"/>
                <w:sz w:val="22"/>
              </w:rPr>
              <w:t>Sin reforma constitucional</w:t>
            </w:r>
          </w:p>
        </w:tc>
        <w:tc>
          <w:tcPr>
            <w:tcW w:type="dxa" w:w="3135"/>
            <w:shd w:val="clear" w:color="auto" w:fill="FFFFFF"/>
          </w:tcPr>
          <w:p>
            <w:r>
              <w:rPr>
                <w:rFonts w:ascii="Arial" w:hAnsi="Arial"/>
                <w:sz w:val="22"/>
              </w:rPr>
              <w:t>Se instrumenta mediante acuerdo administrativo, igual que el Acuerdo IMSS 064/2020</w:t>
            </w:r>
          </w:p>
        </w:tc>
      </w:tr>
      <w:tr>
        <w:tc>
          <w:tcPr>
            <w:tcW w:type="dxa" w:w="3135"/>
            <w:shd w:val="clear" w:color="auto" w:fill="F2F2F2"/>
          </w:tcPr>
          <w:p>
            <w:r>
              <w:rPr>
                <w:rFonts w:ascii="Arial" w:hAnsi="Arial"/>
                <w:sz w:val="22"/>
              </w:rPr>
              <w:t>5</w:t>
            </w:r>
          </w:p>
        </w:tc>
        <w:tc>
          <w:tcPr>
            <w:tcW w:type="dxa" w:w="3135"/>
            <w:shd w:val="clear" w:color="auto" w:fill="F2F2F2"/>
          </w:tcPr>
          <w:p>
            <w:r>
              <w:rPr>
                <w:rFonts w:ascii="Arial" w:hAnsi="Arial"/>
                <w:sz w:val="22"/>
              </w:rPr>
              <w:t>UMA-Fronteriza para Sonora</w:t>
            </w:r>
          </w:p>
        </w:tc>
        <w:tc>
          <w:tcPr>
            <w:tcW w:type="dxa" w:w="3135"/>
            <w:shd w:val="clear" w:color="auto" w:fill="F2F2F2"/>
          </w:tcPr>
          <w:p>
            <w:r>
              <w:rPr>
                <w:rFonts w:ascii="Arial" w:hAnsi="Arial"/>
                <w:sz w:val="22"/>
              </w:rPr>
              <w:t>Propuesta adicional: diferencial geografico para zonas fronterizas por mayor costo de vida</w:t>
            </w:r>
          </w:p>
        </w:tc>
      </w:tr>
    </w:tbl>
    <w:p>
      <w:pPr>
        <w:spacing w:after="120"/>
      </w:pPr>
    </w:p>
    <w:p>
      <w:r>
        <w:rPr>
          <w:rFonts w:ascii="Arial" w:hAnsi="Arial"/>
          <w:b/>
          <w:sz w:val="24"/>
        </w:rPr>
        <w:t>Estado legislativo actual:</w:t>
      </w:r>
    </w:p>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A6E"/>
          </w:tcPr>
          <w:p>
            <w:r>
              <w:rPr>
                <w:rFonts w:ascii="Arial" w:hAnsi="Arial"/>
                <w:b/>
                <w:color w:val="FFFFFF"/>
                <w:sz w:val="22"/>
              </w:rPr>
              <w:t>Instancia</w:t>
            </w:r>
          </w:p>
        </w:tc>
        <w:tc>
          <w:tcPr>
            <w:tcW w:type="dxa" w:w="3135"/>
            <w:shd w:val="clear" w:color="auto" w:fill="1F3A6E"/>
          </w:tcPr>
          <w:p>
            <w:r>
              <w:rPr>
                <w:rFonts w:ascii="Arial" w:hAnsi="Arial"/>
                <w:b/>
                <w:color w:val="FFFFFF"/>
                <w:sz w:val="22"/>
              </w:rPr>
              <w:t>Accion realizada</w:t>
            </w:r>
          </w:p>
        </w:tc>
        <w:tc>
          <w:tcPr>
            <w:tcW w:type="dxa" w:w="3135"/>
            <w:shd w:val="clear" w:color="auto" w:fill="1F3A6E"/>
          </w:tcPr>
          <w:p>
            <w:r>
              <w:rPr>
                <w:rFonts w:ascii="Arial" w:hAnsi="Arial"/>
                <w:b/>
                <w:color w:val="FFFFFF"/>
                <w:sz w:val="22"/>
              </w:rPr>
              <w:t>Fecha</w:t>
            </w:r>
          </w:p>
        </w:tc>
      </w:tr>
      <w:tr>
        <w:tc>
          <w:tcPr>
            <w:tcW w:type="dxa" w:w="3135"/>
            <w:shd w:val="clear" w:color="auto" w:fill="F2F2F2"/>
          </w:tcPr>
          <w:p>
            <w:r>
              <w:rPr>
                <w:rFonts w:ascii="Arial" w:hAnsi="Arial"/>
                <w:sz w:val="22"/>
              </w:rPr>
              <w:t>Camara de Diputados</w:t>
            </w:r>
          </w:p>
        </w:tc>
        <w:tc>
          <w:tcPr>
            <w:tcW w:type="dxa" w:w="3135"/>
            <w:shd w:val="clear" w:color="auto" w:fill="F2F2F2"/>
          </w:tcPr>
          <w:p>
            <w:r>
              <w:rPr>
                <w:rFonts w:ascii="Arial" w:hAnsi="Arial"/>
                <w:sz w:val="22"/>
              </w:rPr>
              <w:t>Presentacion formal de la propuesta PIP en San Lazaro</w:t>
            </w:r>
          </w:p>
        </w:tc>
        <w:tc>
          <w:tcPr>
            <w:tcW w:type="dxa" w:w="3135"/>
            <w:shd w:val="clear" w:color="auto" w:fill="F2F2F2"/>
          </w:tcPr>
          <w:p>
            <w:r>
              <w:rPr>
                <w:rFonts w:ascii="Arial" w:hAnsi="Arial"/>
                <w:sz w:val="22"/>
              </w:rPr>
              <w:t>2026</w:t>
            </w:r>
          </w:p>
        </w:tc>
      </w:tr>
      <w:tr>
        <w:tc>
          <w:tcPr>
            <w:tcW w:type="dxa" w:w="3135"/>
            <w:shd w:val="clear" w:color="auto" w:fill="FFFFFF"/>
          </w:tcPr>
          <w:p>
            <w:r>
              <w:rPr>
                <w:rFonts w:ascii="Arial" w:hAnsi="Arial"/>
                <w:sz w:val="22"/>
              </w:rPr>
              <w:t>Senado de la Republica</w:t>
            </w:r>
          </w:p>
        </w:tc>
        <w:tc>
          <w:tcPr>
            <w:tcW w:type="dxa" w:w="3135"/>
            <w:shd w:val="clear" w:color="auto" w:fill="FFFFFF"/>
          </w:tcPr>
          <w:p>
            <w:r>
              <w:rPr>
                <w:rFonts w:ascii="Arial" w:hAnsi="Arial"/>
                <w:sz w:val="22"/>
              </w:rPr>
              <w:t>Presentacion de propuesta UMA-Fronteriza</w:t>
            </w:r>
          </w:p>
        </w:tc>
        <w:tc>
          <w:tcPr>
            <w:tcW w:type="dxa" w:w="3135"/>
            <w:shd w:val="clear" w:color="auto" w:fill="FFFFFF"/>
          </w:tcPr>
          <w:p>
            <w:r>
              <w:rPr>
                <w:rFonts w:ascii="Arial" w:hAnsi="Arial"/>
                <w:sz w:val="22"/>
              </w:rPr>
              <w:t>2026</w:t>
            </w:r>
          </w:p>
        </w:tc>
      </w:tr>
      <w:tr>
        <w:tc>
          <w:tcPr>
            <w:tcW w:type="dxa" w:w="3135"/>
            <w:shd w:val="clear" w:color="auto" w:fill="F2F2F2"/>
          </w:tcPr>
          <w:p>
            <w:r>
              <w:rPr>
                <w:rFonts w:ascii="Arial" w:hAnsi="Arial"/>
                <w:sz w:val="22"/>
              </w:rPr>
              <w:t>Antecedente legal</w:t>
            </w:r>
          </w:p>
        </w:tc>
        <w:tc>
          <w:tcPr>
            <w:tcW w:type="dxa" w:w="3135"/>
            <w:shd w:val="clear" w:color="auto" w:fill="F2F2F2"/>
          </w:tcPr>
          <w:p>
            <w:r>
              <w:rPr>
                <w:rFonts w:ascii="Arial" w:hAnsi="Arial"/>
                <w:sz w:val="22"/>
              </w:rPr>
              <w:t>Jurisprudencia 2a./J. 164/2019 — SCJN (precedente IMSS)</w:t>
            </w:r>
          </w:p>
        </w:tc>
        <w:tc>
          <w:tcPr>
            <w:tcW w:type="dxa" w:w="3135"/>
            <w:shd w:val="clear" w:color="auto" w:fill="F2F2F2"/>
          </w:tcPr>
          <w:p>
            <w:r>
              <w:rPr>
                <w:rFonts w:ascii="Arial" w:hAnsi="Arial"/>
                <w:sz w:val="22"/>
              </w:rPr>
              <w:t>Vigente</w:t>
            </w:r>
          </w:p>
        </w:tc>
      </w:tr>
    </w:tbl>
    <w:p>
      <w:r>
        <w:br w:type="page"/>
      </w:r>
    </w:p>
    <w:p>
      <w:r>
        <w:rPr>
          <w:rFonts w:ascii="Arial" w:hAnsi="Arial"/>
          <w:b/>
          <w:color w:val="1F3A6E"/>
          <w:sz w:val="28"/>
        </w:rPr>
        <w:t>III. LO QUE SOLICITAMOS AL GOBIERNO FEDERAL</w:t>
      </w:r>
    </w:p>
    <w:p>
      <w:pPr>
        <w:spacing w:after="80"/>
      </w:pPr>
    </w:p>
    <w:p>
      <w:r>
        <w:rPr>
          <w:rFonts w:ascii="Arial" w:hAnsi="Arial"/>
          <w:b/>
          <w:sz w:val="24"/>
        </w:rPr>
        <w:t>Tres peticiones concretas y viables:</w:t>
      </w:r>
    </w:p>
    <w:p>
      <w:pPr>
        <w:spacing w:after="60"/>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A6E"/>
          </w:tcPr>
          <w:p>
            <w:r>
              <w:rPr>
                <w:rFonts w:ascii="Arial" w:hAnsi="Arial"/>
                <w:b/>
                <w:color w:val="FFFFFF"/>
                <w:sz w:val="22"/>
              </w:rPr>
              <w:t>#</w:t>
            </w:r>
          </w:p>
        </w:tc>
        <w:tc>
          <w:tcPr>
            <w:tcW w:type="dxa" w:w="3135"/>
            <w:shd w:val="clear" w:color="auto" w:fill="1F3A6E"/>
          </w:tcPr>
          <w:p>
            <w:r>
              <w:rPr>
                <w:rFonts w:ascii="Arial" w:hAnsi="Arial"/>
                <w:b/>
                <w:color w:val="FFFFFF"/>
                <w:sz w:val="22"/>
              </w:rPr>
              <w:t>Peticion</w:t>
            </w:r>
          </w:p>
        </w:tc>
        <w:tc>
          <w:tcPr>
            <w:tcW w:type="dxa" w:w="3135"/>
            <w:shd w:val="clear" w:color="auto" w:fill="1F3A6E"/>
          </w:tcPr>
          <w:p>
            <w:r>
              <w:rPr>
                <w:rFonts w:ascii="Arial" w:hAnsi="Arial"/>
                <w:b/>
                <w:color w:val="FFFFFF"/>
                <w:sz w:val="22"/>
              </w:rPr>
              <w:t>Mecanismo sugerido</w:t>
            </w:r>
          </w:p>
        </w:tc>
      </w:tr>
      <w:tr>
        <w:tc>
          <w:tcPr>
            <w:tcW w:type="dxa" w:w="3135"/>
            <w:shd w:val="clear" w:color="auto" w:fill="F2F2F2"/>
          </w:tcPr>
          <w:p>
            <w:r>
              <w:rPr>
                <w:rFonts w:ascii="Arial" w:hAnsi="Arial"/>
                <w:sz w:val="22"/>
              </w:rPr>
              <w:t>1</w:t>
            </w:r>
          </w:p>
        </w:tc>
        <w:tc>
          <w:tcPr>
            <w:tcW w:type="dxa" w:w="3135"/>
            <w:shd w:val="clear" w:color="auto" w:fill="F2F2F2"/>
          </w:tcPr>
          <w:p>
            <w:r>
              <w:rPr>
                <w:rFonts w:ascii="Arial" w:hAnsi="Arial"/>
                <w:sz w:val="22"/>
              </w:rPr>
              <w:t>Instalacion de una mesa tecnica permanente entre el Magisterio Sonorense, SEP e ISSSTE para revisar la viabilidad de homologar el techo de UMAs al precedente del IMSS</w:t>
            </w:r>
          </w:p>
        </w:tc>
        <w:tc>
          <w:tcPr>
            <w:tcW w:type="dxa" w:w="3135"/>
            <w:shd w:val="clear" w:color="auto" w:fill="F2F2F2"/>
          </w:tcPr>
          <w:p>
            <w:r>
              <w:rPr>
                <w:rFonts w:ascii="Arial" w:hAnsi="Arial"/>
                <w:sz w:val="22"/>
              </w:rPr>
              <w:t>Decreto presidencial o instruccion directa a SEP/ISSSTE</w:t>
            </w:r>
          </w:p>
        </w:tc>
      </w:tr>
      <w:tr>
        <w:tc>
          <w:tcPr>
            <w:tcW w:type="dxa" w:w="3135"/>
            <w:shd w:val="clear" w:color="auto" w:fill="FFFFFF"/>
          </w:tcPr>
          <w:p>
            <w:r>
              <w:rPr>
                <w:rFonts w:ascii="Arial" w:hAnsi="Arial"/>
                <w:sz w:val="22"/>
              </w:rPr>
              <w:t>2</w:t>
            </w:r>
          </w:p>
        </w:tc>
        <w:tc>
          <w:tcPr>
            <w:tcW w:type="dxa" w:w="3135"/>
            <w:shd w:val="clear" w:color="auto" w:fill="FFFFFF"/>
          </w:tcPr>
          <w:p>
            <w:r>
              <w:rPr>
                <w:rFonts w:ascii="Arial" w:hAnsi="Arial"/>
                <w:sz w:val="22"/>
              </w:rPr>
              <w:t>Revision y apoyo a la iniciativa PIP ya presentada en el Congreso</w:t>
            </w:r>
          </w:p>
        </w:tc>
        <w:tc>
          <w:tcPr>
            <w:tcW w:type="dxa" w:w="3135"/>
            <w:shd w:val="clear" w:color="auto" w:fill="FFFFFF"/>
          </w:tcPr>
          <w:p>
            <w:r>
              <w:rPr>
                <w:rFonts w:ascii="Arial" w:hAnsi="Arial"/>
                <w:sz w:val="22"/>
              </w:rPr>
              <w:t>Aval de la SEP como dependencia coordinadora del sector educativo</w:t>
            </w:r>
          </w:p>
        </w:tc>
      </w:tr>
      <w:tr>
        <w:tc>
          <w:tcPr>
            <w:tcW w:type="dxa" w:w="3135"/>
            <w:shd w:val="clear" w:color="auto" w:fill="F2F2F2"/>
          </w:tcPr>
          <w:p>
            <w:r>
              <w:rPr>
                <w:rFonts w:ascii="Arial" w:hAnsi="Arial"/>
                <w:sz w:val="22"/>
              </w:rPr>
              <w:t>3</w:t>
            </w:r>
          </w:p>
        </w:tc>
        <w:tc>
          <w:tcPr>
            <w:tcW w:type="dxa" w:w="3135"/>
            <w:shd w:val="clear" w:color="auto" w:fill="F2F2F2"/>
          </w:tcPr>
          <w:p>
            <w:r>
              <w:rPr>
                <w:rFonts w:ascii="Arial" w:hAnsi="Arial"/>
                <w:sz w:val="22"/>
              </w:rPr>
              <w:t>Reconocimiento del diferencial geografico de la zona fronteriza de Sonora mediante la UMA-Fronteriza</w:t>
            </w:r>
          </w:p>
        </w:tc>
        <w:tc>
          <w:tcPr>
            <w:tcW w:type="dxa" w:w="3135"/>
            <w:shd w:val="clear" w:color="auto" w:fill="F2F2F2"/>
          </w:tcPr>
          <w:p>
            <w:r>
              <w:rPr>
                <w:rFonts w:ascii="Arial" w:hAnsi="Arial"/>
                <w:sz w:val="22"/>
              </w:rPr>
              <w:t>Instruccion a ISSSTE para elaborar estudio actuarial de factibilidad</w:t>
            </w:r>
          </w:p>
        </w:tc>
      </w:tr>
    </w:tbl>
    <w:p>
      <w:pPr>
        <w:spacing w:after="160"/>
      </w:pPr>
    </w:p>
    <w:p>
      <w:r>
        <w:rPr>
          <w:rFonts w:ascii="Arial" w:hAnsi="Arial"/>
          <w:b/>
          <w:sz w:val="24"/>
        </w:rPr>
        <w:t>Declaracion del Magisterio Sonorense:</w:t>
      </w:r>
    </w:p>
    <w:p>
      <w:pPr>
        <w:spacing w:after="60"/>
      </w:pPr>
    </w:p>
    <w:p>
      <w:pPr>
        <w:ind w:left="567" w:right="567"/>
      </w:pPr>
      <w:r>
        <w:rPr>
          <w:rFonts w:ascii="Arial" w:hAnsi="Arial"/>
          <w:i/>
          <w:color w:val="1F3A6E"/>
          <w:sz w:val="24"/>
        </w:rPr>
        <w:t>"El Magisterio Sonorense no viene a exigir lo imposible. Venimos a presentar una propuesta tecnica que ya fue posible para los trabajadores del IMSS mediante el Acuerdo 064/2020. Pedimos para los maestros de Sonora la misma justicia que ya existe para otros trabajadores del Estado. Nuestra propuesta esta documentada, es fiscalmente viable y no requiere reformar la Constitucion. Solo requiere voluntad politica."</w:t>
      </w:r>
    </w:p>
    <w:p>
      <w:pPr>
        <w:spacing w:after="160"/>
      </w:pPr>
    </w:p>
    <w:p>
      <w:r>
        <w:rPr>
          <w:rFonts w:ascii="Arial" w:hAnsi="Arial"/>
          <w:b/>
          <w:sz w:val="24"/>
        </w:rPr>
        <w:t>Contacto para seguimiento:</w:t>
      </w:r>
    </w:p>
    <w:p>
      <w:pPr>
        <w:spacing w:after="60"/>
      </w:pPr>
    </w:p>
    <w:tbl>
      <w:tblPr>
        <w:tblStyle w:val="TableGrid"/>
        <w:tblW w:type="auto" w:w="0"/>
        <w:tblLook w:firstColumn="1" w:firstRow="1" w:lastColumn="0" w:lastRow="0" w:noHBand="0" w:noVBand="1" w:val="04A0"/>
      </w:tblPr>
      <w:tblGrid>
        <w:gridCol w:w="4703"/>
        <w:gridCol w:w="4703"/>
      </w:tblGrid>
      <w:tr>
        <w:tc>
          <w:tcPr>
            <w:tcW w:type="dxa" w:w="4703"/>
            <w:shd w:val="clear" w:color="auto" w:fill="1F3A6E"/>
          </w:tcPr>
          <w:p>
            <w:r>
              <w:rPr>
                <w:rFonts w:ascii="Arial" w:hAnsi="Arial"/>
                <w:b/>
                <w:color w:val="FFFFFF"/>
                <w:sz w:val="22"/>
              </w:rPr>
              <w:t>Campo</w:t>
            </w:r>
          </w:p>
        </w:tc>
        <w:tc>
          <w:tcPr>
            <w:tcW w:type="dxa" w:w="4703"/>
            <w:shd w:val="clear" w:color="auto" w:fill="1F3A6E"/>
          </w:tcPr>
          <w:p>
            <w:r>
              <w:rPr>
                <w:rFonts w:ascii="Arial" w:hAnsi="Arial"/>
                <w:b/>
                <w:color w:val="FFFFFF"/>
                <w:sz w:val="22"/>
              </w:rPr>
              <w:t>Dato</w:t>
            </w:r>
          </w:p>
        </w:tc>
      </w:tr>
      <w:tr>
        <w:tc>
          <w:tcPr>
            <w:tcW w:type="dxa" w:w="4703"/>
            <w:shd w:val="clear" w:color="auto" w:fill="F2F2F2"/>
          </w:tcPr>
          <w:p>
            <w:r>
              <w:rPr>
                <w:rFonts w:ascii="Arial" w:hAnsi="Arial"/>
                <w:sz w:val="22"/>
              </w:rPr>
              <w:t>Organizacion</w:t>
            </w:r>
          </w:p>
        </w:tc>
        <w:tc>
          <w:tcPr>
            <w:tcW w:type="dxa" w:w="4703"/>
            <w:shd w:val="clear" w:color="auto" w:fill="F2F2F2"/>
          </w:tcPr>
          <w:p>
            <w:r>
              <w:rPr>
                <w:rFonts w:ascii="Arial" w:hAnsi="Arial"/>
                <w:sz w:val="22"/>
              </w:rPr>
              <w:t>Magisterio Sonorense — Representacion de Maestros Federalizados</w:t>
            </w:r>
          </w:p>
        </w:tc>
      </w:tr>
      <w:tr>
        <w:tc>
          <w:tcPr>
            <w:tcW w:type="dxa" w:w="4703"/>
            <w:shd w:val="clear" w:color="auto" w:fill="FFFFFF"/>
          </w:tcPr>
          <w:p>
            <w:r>
              <w:rPr>
                <w:rFonts w:ascii="Arial" w:hAnsi="Arial"/>
                <w:sz w:val="22"/>
              </w:rPr>
              <w:t>Estado</w:t>
            </w:r>
          </w:p>
        </w:tc>
        <w:tc>
          <w:tcPr>
            <w:tcW w:type="dxa" w:w="4703"/>
            <w:shd w:val="clear" w:color="auto" w:fill="FFFFFF"/>
          </w:tcPr>
          <w:p>
            <w:r>
              <w:rPr>
                <w:rFonts w:ascii="Arial" w:hAnsi="Arial"/>
                <w:sz w:val="22"/>
              </w:rPr>
              <w:t>Sonora, Mexico</w:t>
            </w:r>
          </w:p>
        </w:tc>
      </w:tr>
      <w:tr>
        <w:tc>
          <w:tcPr>
            <w:tcW w:type="dxa" w:w="4703"/>
            <w:shd w:val="clear" w:color="auto" w:fill="F2F2F2"/>
          </w:tcPr>
          <w:p>
            <w:r>
              <w:rPr>
                <w:rFonts w:ascii="Arial" w:hAnsi="Arial"/>
                <w:sz w:val="22"/>
              </w:rPr>
              <w:t>Documentacion en el Congreso</w:t>
            </w:r>
          </w:p>
        </w:tc>
        <w:tc>
          <w:tcPr>
            <w:tcW w:type="dxa" w:w="4703"/>
            <w:shd w:val="clear" w:color="auto" w:fill="F2F2F2"/>
          </w:tcPr>
          <w:p>
            <w:r>
              <w:rPr>
                <w:rFonts w:ascii="Arial" w:hAnsi="Arial"/>
                <w:sz w:val="22"/>
              </w:rPr>
              <w:t>Propuesta PIP — Camara de Diputados y Senado, 2026</w:t>
            </w:r>
          </w:p>
        </w:tc>
      </w:tr>
      <w:tr>
        <w:tc>
          <w:tcPr>
            <w:tcW w:type="dxa" w:w="4703"/>
            <w:shd w:val="clear" w:color="auto" w:fill="FFFFFF"/>
          </w:tcPr>
          <w:p>
            <w:r>
              <w:rPr>
                <w:rFonts w:ascii="Arial" w:hAnsi="Arial"/>
                <w:sz w:val="22"/>
              </w:rPr>
              <w:t>Antecedente legal de sustento</w:t>
            </w:r>
          </w:p>
        </w:tc>
        <w:tc>
          <w:tcPr>
            <w:tcW w:type="dxa" w:w="4703"/>
            <w:shd w:val="clear" w:color="auto" w:fill="FFFFFF"/>
          </w:tcPr>
          <w:p>
            <w:r>
              <w:rPr>
                <w:rFonts w:ascii="Arial" w:hAnsi="Arial"/>
                <w:sz w:val="22"/>
              </w:rPr>
              <w:t>Jurisprudencia SCJN 2a./J. 164/2019 + Acuerdo IMSS 064/2020</w:t>
            </w:r>
          </w:p>
        </w:tc>
      </w:tr>
    </w:tbl>
    <w:p>
      <w:pPr>
        <w:spacing w:after="120"/>
      </w:pPr>
    </w:p>
    <w:p>
      <w:pPr>
        <w:jc w:val="center"/>
      </w:pPr>
      <w:r>
        <w:rPr>
          <w:color w:val="1F3A6E"/>
        </w:rPr>
        <w:t>____________________________________________________________</w:t>
      </w:r>
    </w:p>
    <w:p>
      <w:pPr>
        <w:jc w:val="center"/>
      </w:pPr>
      <w:r>
        <w:rPr>
          <w:rFonts w:ascii="Arial" w:hAnsi="Arial"/>
          <w:i/>
          <w:color w:val="888888"/>
          <w:sz w:val="20"/>
        </w:rPr>
        <w:t>Magisterio Sonorense — Mayo 2026</w:t>
      </w:r>
    </w:p>
    <w:p>
      <w:pPr>
        <w:jc w:val="center"/>
      </w:pPr>
      <w:r>
        <w:rPr>
          <w:rFonts w:ascii="Arial" w:hAnsi="Arial"/>
          <w:i/>
          <w:color w:val="1F3A6E"/>
          <w:sz w:val="20"/>
        </w:rPr>
        <w:t>"Por la dignidad pensional de todos los maestros de Sonora"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