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5F"/>
          <w:sz w:val="56"/>
        </w:rPr>
        <w:t>Roadmap de construcción</w:t>
      </w:r>
    </w:p>
    <w:p>
      <w:pPr>
        <w:spacing w:after="320"/>
        <w:pBdr>
          <w:bottom w:val="single" w:sz="18" w:space="4" w:color="0F766E"/>
        </w:pBdr>
      </w:pPr>
      <w:r>
        <w:rPr>
          <w:i/>
          <w:color w:val="0F766E"/>
          <w:sz w:val="26"/>
        </w:rPr>
        <w:t>Empleado conectado a Supabase, vía conector sgmcp + skill supabase-employee-integration</w:t>
      </w:r>
    </w:p>
    <w:p>
      <w:pPr>
        <w:spacing w:after="400"/>
      </w:pPr>
      <w:r>
        <w:rPr>
          <w:b w:val="0"/>
          <w:i/>
          <w:color w:val="555555"/>
          <w:sz w:val="21"/>
        </w:rPr>
        <w:t>Antes de empezar: ten listo el documento “Encargo del Empleado” (plantilla de negocio) ya lleno, con la información del empleado que vas a construir. Este roadmap no repite esa plantilla — da por hecho que ya la llenaste.</w:t>
      </w: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1. </w:t>
      </w:r>
      <w:r>
        <w:rPr>
          <w:b/>
          <w:color w:val="1E3A5F"/>
          <w:sz w:val="28"/>
        </w:rPr>
        <w:t>Crear el workspace del empleado</w:t>
      </w:r>
    </w:p>
    <w:p>
      <w:pPr>
        <w:spacing w:after="120"/>
      </w:pPr>
      <w:r>
        <w:rPr>
          <w:b w:val="0"/>
          <w:i w:val="0"/>
          <w:sz w:val="22"/>
        </w:rPr>
        <w:t>Inicia la sesión de construcción del empleado en WAI, como cualquier otro empleado nuevo.</w:t>
      </w: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2. </w:t>
      </w:r>
      <w:r>
        <w:rPr>
          <w:b/>
          <w:color w:val="1E3A5F"/>
          <w:sz w:val="28"/>
        </w:rPr>
        <w:t>Elegir el conector sgmcp</w:t>
      </w:r>
    </w:p>
    <w:p>
      <w:pPr>
        <w:spacing w:after="120"/>
      </w:pPr>
      <w:r>
        <w:rPr>
          <w:b w:val="0"/>
          <w:i w:val="0"/>
          <w:sz w:val="22"/>
        </w:rPr>
        <w:t>En la sección de Conectores / MCP del workspace, selecciona sgmcp — el conector genérico de Supabase (catálogo id 51, https://mcp-supabase-generico.onrender.com). No lo configures todavía, solo selecciónalo.</w:t>
      </w: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3. </w:t>
      </w:r>
      <w:r>
        <w:rPr>
          <w:b/>
          <w:color w:val="1E3A5F"/>
          <w:sz w:val="28"/>
        </w:rPr>
        <w:t>Elegir el skill supabase-employee-integration</w:t>
      </w:r>
    </w:p>
    <w:p>
      <w:pPr>
        <w:spacing w:after="120"/>
      </w:pPr>
      <w:r>
        <w:rPr>
          <w:b w:val="0"/>
          <w:i w:val="0"/>
          <w:sz w:val="22"/>
        </w:rPr>
        <w:t>En la sección “Skills adicionales” del mismo workspace, selecciona supabase-employee-integration.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F766E"/>
          <w:left w:val="single" w:sz="4" w:color="0F766E"/>
          <w:bottom w:val="single" w:sz="4" w:color="0F766E"/>
          <w:right w:val="single" w:sz="4" w:color="0F766E"/>
          <w:insideH w:val="single" w:sz="4" w:color="0F766E"/>
          <w:insideV w:val="single" w:sz="4" w:color="0F766E"/>
        </w:tblBorders>
      </w:tblPr>
      <w:tblGrid>
        <w:gridCol w:w="9746"/>
      </w:tblGrid>
      <w:tr>
        <w:tc>
          <w:tcPr>
            <w:tcW w:type="dxa" w:w="9746"/>
            <w:shd w:val="clear" w:color="auto" w:fill="DCEAE8"/>
          </w:tcPr>
          <w:p>
            <w:r/>
            <w:r>
              <w:rPr>
                <w:color w:val="1E3A5F"/>
                <w:sz w:val="20"/>
              </w:rPr>
              <w:t>Si el conector o el skill no aparecen en las listas de este tenant, detente aquí y pide que se publiquen antes de seguir — los pasos siguientes no funcionan sin ambos.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4. </w:t>
      </w:r>
      <w:r>
        <w:rPr>
          <w:b/>
          <w:color w:val="1E3A5F"/>
          <w:sz w:val="28"/>
        </w:rPr>
        <w:t>Subir el encargo de negocio al fichero</w:t>
      </w:r>
    </w:p>
    <w:p>
      <w:pPr>
        <w:spacing w:after="120"/>
      </w:pPr>
      <w:r>
        <w:rPr>
          <w:b w:val="0"/>
          <w:i w:val="0"/>
          <w:sz w:val="22"/>
        </w:rPr>
        <w:t>Sube al fichero de la sesión el documento “Encargo del Empleado” ya lleno con la información de este empleado en particular (identidad, usuarios, capacidades, datos, reglas de negocio, permisos, etc.).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F766E"/>
          <w:left w:val="single" w:sz="4" w:color="0F766E"/>
          <w:bottom w:val="single" w:sz="4" w:color="0F766E"/>
          <w:right w:val="single" w:sz="4" w:color="0F766E"/>
          <w:insideH w:val="single" w:sz="4" w:color="0F766E"/>
          <w:insideV w:val="single" w:sz="4" w:color="0F766E"/>
        </w:tblBorders>
      </w:tblPr>
      <w:tblGrid>
        <w:gridCol w:w="9746"/>
      </w:tblGrid>
      <w:tr>
        <w:tc>
          <w:tcPr>
            <w:tcW w:type="dxa" w:w="9746"/>
            <w:shd w:val="clear" w:color="auto" w:fill="DCEAE8"/>
          </w:tcPr>
          <w:p>
            <w:r/>
            <w:r>
              <w:rPr>
                <w:color w:val="1E3A5F"/>
                <w:sz w:val="20"/>
              </w:rPr>
              <w:t>No incluyas en ese documento ni en ningún mensaje la URL ni las llaves reales de Supabase — eso se carga después, en el Paso 8, por un mecanismo seguro, nunca como texto en el chat o en un archivo.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5. </w:t>
      </w:r>
      <w:r>
        <w:rPr>
          <w:b/>
          <w:color w:val="1E3A5F"/>
          <w:sz w:val="28"/>
        </w:rPr>
        <w:t>Enviar el prompt de construcción</w:t>
      </w:r>
    </w:p>
    <w:p>
      <w:pPr>
        <w:spacing w:after="120"/>
      </w:pPr>
      <w:r>
        <w:rPr>
          <w:b w:val="0"/>
          <w:i w:val="0"/>
          <w:sz w:val="22"/>
        </w:rPr>
        <w:t>Pega esto como mensaje, adjuntando o referenciando el archivo del Paso 4: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746"/>
      </w:tblGrid>
      <w:tr>
        <w:tc>
          <w:tcPr>
            <w:tcW w:type="dxa" w:w="9746"/>
            <w:shd w:val="clear" w:color="auto" w:fill="F4F4F4"/>
          </w:tcPr>
          <w:p>
            <w:r/>
            <w:r>
              <w:rPr>
                <w:rFonts w:ascii="Consolas" w:hAnsi="Consolas"/>
                <w:color w:val="222222"/>
                <w:sz w:val="19"/>
              </w:rPr>
              <w:t>Construye este empleado a partir del encargo de negocio que subí al fichero de esta sesión (documento "Encargo del Empleado"). Lee el archivo completo antes de empezar.</w:t>
            </w:r>
          </w:p>
          <w:p>
            <w:r>
              <w:rPr>
                <w:rFonts w:ascii="Consolas" w:hAnsi="Consolas"/>
                <w:color w:val="222222"/>
                <w:sz w:val="19"/>
              </w:rPr>
            </w:r>
          </w:p>
          <w:p>
            <w:r>
              <w:rPr>
                <w:rFonts w:ascii="Consolas" w:hAnsi="Consolas"/>
                <w:color w:val="222222"/>
                <w:sz w:val="19"/>
              </w:rPr>
              <w:t>Usa el conector sgmcp y el skill supabase-employee-integration que ya seleccioné. Sigue exactamente procedures/integrate.md del skill para integrar el backend, y a continuación procedures/integrate_frontend.md - este segundo paso es siempre parte de la integración, no es opcional: construye siempre la pantalla de configuración (URL/modo/llave/allowlist), y construye también la pantalla de login personal únicamente si, según la sección 3 del encargo, cada usuario debe ver solo lo suyo (modo rls_personal). Si en la sección 3 todos ven lo mismo con una sola credencial (modo service_role), omite solo el login, nunca la pantalla de configuración.</w:t>
            </w:r>
          </w:p>
          <w:p>
            <w:r>
              <w:rPr>
                <w:rFonts w:ascii="Consolas" w:hAnsi="Consolas"/>
                <w:color w:val="222222"/>
                <w:sz w:val="19"/>
              </w:rPr>
            </w:r>
          </w:p>
          <w:p>
            <w:r>
              <w:rPr>
                <w:rFonts w:ascii="Consolas" w:hAnsi="Consolas"/>
                <w:color w:val="222222"/>
                <w:sz w:val="19"/>
              </w:rPr>
              <w:t>Traduce el encargo en capacidades, el allowlist de tablas/columnas/operaciones y el modo de acceso a Supabase (rls_personal o service_role), a partir de las secciones 2, 3 y 4 del encargo. Donde el encargo no sea explícito - por ejemplo si no dice si cada usuario ve solo lo suyo - trae tu propuesta y márcala explícitamente como pendiente de mi aprobación antes de construir en firme; no la asumas ni la construyas como definitiva.</w:t>
            </w:r>
          </w:p>
          <w:p>
            <w:r>
              <w:rPr>
                <w:rFonts w:ascii="Consolas" w:hAnsi="Consolas"/>
                <w:color w:val="222222"/>
                <w:sz w:val="19"/>
              </w:rPr>
            </w:r>
          </w:p>
          <w:p>
            <w:r>
              <w:rPr>
                <w:rFonts w:ascii="Consolas" w:hAnsi="Consolas"/>
                <w:color w:val="222222"/>
                <w:sz w:val="19"/>
              </w:rPr>
              <w:t>Cuando el procedimiento te pida declarar una divergencia (el cambio aprobado a un archivo invariante de la plantilla que requiere este skill), usa como approver_email el correo de la sección 9 del encargo (Aprobaciones). Si esa sección viene vacía, pídemelo explícitamente antes de declarar la divergencia - no te autoapruebes esto ni uses mi correo si yo no soy esa persona.</w:t>
            </w:r>
          </w:p>
          <w:p>
            <w:r>
              <w:rPr>
                <w:rFonts w:ascii="Consolas" w:hAnsi="Consolas"/>
                <w:color w:val="222222"/>
                <w:sz w:val="19"/>
              </w:rPr>
            </w:r>
          </w:p>
          <w:p>
            <w:r>
              <w:rPr>
                <w:rFonts w:ascii="Consolas" w:hAnsi="Consolas"/>
                <w:color w:val="222222"/>
                <w:sz w:val="19"/>
              </w:rPr>
              <w:t>No cargues todavía la URL ni la llave real de Supabase - de eso me encargo yo después, por la pantalla de configuración, en un paso separado.</w:t>
            </w:r>
          </w:p>
          <w:p>
            <w:r>
              <w:rPr>
                <w:rFonts w:ascii="Consolas" w:hAnsi="Consolas"/>
                <w:color w:val="222222"/>
                <w:sz w:val="19"/>
              </w:rPr>
            </w:r>
          </w:p>
          <w:p>
            <w:r>
              <w:rPr>
                <w:rFonts w:ascii="Consolas" w:hAnsi="Consolas"/>
                <w:color w:val="222222"/>
                <w:sz w:val="19"/>
              </w:rPr>
              <w:t>No modifiques nada dentro de assets/sgmcp_adapter ni te desvíes de integrate.md/integrate_frontend.md para que algo "funcione". Si algo te obliga a hacerlo, o si algo del encargo es ambiguo o contradictorio, detente y dime exactamente qué y por qué, en vez de decidirlo tú.</w:t>
            </w:r>
          </w:p>
          <w:p>
            <w:r>
              <w:rPr>
                <w:rFonts w:ascii="Consolas" w:hAnsi="Consolas"/>
                <w:color w:val="222222"/>
                <w:sz w:val="19"/>
              </w:rPr>
            </w:r>
          </w:p>
          <w:p>
            <w:r>
              <w:rPr>
                <w:rFonts w:ascii="Consolas" w:hAnsi="Consolas"/>
                <w:color w:val="222222"/>
                <w:sz w:val="19"/>
              </w:rPr>
              <w:t>Al terminar, repórtame: resultado exacto de check_host_contract.py, qué divergencia(s) quedaron registradas y con qué correo, qué propusiste que sigue pendiente de mi aprobación, y confirma que el empleado queda sin la configuración real de Supabase todavía.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6. </w:t>
      </w:r>
      <w:r>
        <w:rPr>
          <w:b/>
          <w:color w:val="1E3A5F"/>
          <w:sz w:val="28"/>
        </w:rPr>
        <w:t>Revisar y aprobar lo que el agente propuso</w:t>
      </w:r>
    </w:p>
    <w:p>
      <w:pPr>
        <w:spacing w:after="120"/>
      </w:pPr>
      <w:r>
        <w:rPr>
          <w:b w:val="0"/>
          <w:i w:val="0"/>
          <w:sz w:val="22"/>
        </w:rPr>
        <w:t>Antes de que el agente construya nada en firme, revisa su propuesta: modo de acceso, alcance del allowlist, y cualquier otro punto que haya marcado como pendiente. Corrige o aprueba explícitamente.</w:t>
      </w: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7. </w:t>
      </w:r>
      <w:r>
        <w:rPr>
          <w:b/>
          <w:color w:val="1E3A5F"/>
          <w:sz w:val="28"/>
        </w:rPr>
        <w:t>Construcción</w:t>
      </w:r>
    </w:p>
    <w:p>
      <w:pPr>
        <w:spacing w:after="120"/>
      </w:pPr>
      <w:r>
        <w:rPr>
          <w:b w:val="0"/>
          <w:i w:val="0"/>
          <w:sz w:val="22"/>
        </w:rPr>
        <w:t>El agente integra el backend (y el frontend si aplica), siguiendo el skill y declarando la divergencia aprobada en el Paso 6.</w:t>
      </w: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8. </w:t>
      </w:r>
      <w:r>
        <w:rPr>
          <w:b/>
          <w:color w:val="1E3A5F"/>
          <w:sz w:val="28"/>
        </w:rPr>
        <w:t>Cargar la conexión real a Supabase</w:t>
      </w:r>
    </w:p>
    <w:p>
      <w:pPr>
        <w:spacing w:after="120"/>
      </w:pPr>
      <w:r>
        <w:rPr>
          <w:b w:val="0"/>
          <w:i w:val="0"/>
          <w:sz w:val="22"/>
        </w:rPr>
        <w:t>Ahora sí: entra a la pantalla de configuración dentro de la app del empleado (siempre existe, es parte estándar de la integración) y carga la URL del proyecto y la llave correspondiente (anon para rls_personal, service_role para service_role), junto con el allowlist ya aprobado. Guarda.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F766E"/>
          <w:left w:val="single" w:sz="4" w:color="0F766E"/>
          <w:bottom w:val="single" w:sz="4" w:color="0F766E"/>
          <w:right w:val="single" w:sz="4" w:color="0F766E"/>
          <w:insideH w:val="single" w:sz="4" w:color="0F766E"/>
          <w:insideV w:val="single" w:sz="4" w:color="0F766E"/>
        </w:tblBorders>
      </w:tblPr>
      <w:tblGrid>
        <w:gridCol w:w="9746"/>
      </w:tblGrid>
      <w:tr>
        <w:tc>
          <w:tcPr>
            <w:tcW w:type="dxa" w:w="9746"/>
            <w:shd w:val="clear" w:color="auto" w:fill="DCEAE8"/>
          </w:tcPr>
          <w:p>
            <w:r/>
            <w:r>
              <w:rPr>
                <w:color w:val="1E3A5F"/>
                <w:sz w:val="20"/>
              </w:rPr>
              <w:t>El allowlist (esta pantalla) solo controla qué es TÉCNICAMENTE posible - no le dice al empleado que debe usarlo. Si agregas una tabla nueva aquí (ahora o más adelante) y el empleado nunca fue instruido a trabajar con ella, va a responder que esa tarea no es parte de su función, sin siquiera intentar la llamada. Para que la use de verdad, vuelve a la sesión de construcción y agrega esa tarea explícitamente a sus capacidades (sección 2 del encargo) - el allowlist y las capacidades son dos decisiones distintas, las dos tienen que actualizarse juntas.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9. </w:t>
      </w:r>
      <w:r>
        <w:rPr>
          <w:b/>
          <w:color w:val="1E3A5F"/>
          <w:sz w:val="28"/>
        </w:rPr>
        <w:t>Verificar</w:t>
      </w:r>
    </w:p>
    <w:p>
      <w:pPr>
        <w:spacing w:after="120"/>
      </w:pPr>
      <w:r>
        <w:rPr>
          <w:b w:val="0"/>
          <w:i w:val="0"/>
          <w:sz w:val="22"/>
        </w:rPr>
        <w:t>Prueba en el chat del empleado los casos de aceptación del encargo (sección 10): una lectura normal, un caso ambiguo, un caso que debe rechazar, y una escritura si aplica. Si el modo es rls_personal, prueba con al menos dos usuarios distintos y confirma que cada uno solo ve lo suyo.</w:t>
      </w:r>
    </w:p>
    <w:p>
      <w:pPr>
        <w:spacing w:before="320" w:after="80"/>
        <w:pBdr>
          <w:bottom w:val="single" w:sz="6" w:space="4" w:color="DCEAE8"/>
        </w:pBdr>
      </w:pPr>
      <w:r>
        <w:rPr>
          <w:b/>
          <w:color w:val="0F766E"/>
          <w:sz w:val="28"/>
        </w:rPr>
        <w:t xml:space="preserve">Paso 10. </w:t>
      </w:r>
      <w:r>
        <w:rPr>
          <w:b/>
          <w:color w:val="1E3A5F"/>
          <w:sz w:val="28"/>
        </w:rPr>
        <w:t>Si algo falla</w:t>
      </w:r>
    </w:p>
    <w:p>
      <w:pPr>
        <w:spacing w:after="120"/>
      </w:pPr>
      <w:r>
        <w:rPr>
          <w:b w:val="0"/>
          <w:i w:val="0"/>
          <w:sz w:val="22"/>
        </w:rPr>
        <w:t>No le pidas al agente que ajuste el paquete del skill para este empleado en particular. Reporta el error exacto (qué pediste, qué respondió) a quien mantiene supabase-employee-integration - el arreglo se hace una vez, para todos los empleados, no por empleado.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