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Administrador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Rol: Administrador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El Administrador tiene acceso a </w:t>
      </w:r>
      <w:r w:rsidDel="00000000" w:rsidR="00000000" w:rsidRPr="00000000">
        <w:rPr>
          <w:b w:val="1"/>
          <w:bCs w:val="1"/>
          <w:rtl w:val="0"/>
        </w:rPr>
        <w:t xml:space="preserve">todos los módulos</w:t>
      </w:r>
      <w:r w:rsidDel="00000000" w:rsidR="00000000" w:rsidRPr="00000000">
        <w:rPr>
          <w:rtl w:val="0"/>
        </w:rPr>
        <w:t xml:space="preserve"> del sistema y administra los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. Puede ver y actuar como cualquier otro rol.</w:t>
      </w:r>
    </w:p>
    <w:p w:rsidR="00000000" w:rsidDel="00000000" w:rsidP="00000000" w:rsidRDefault="00000000" w:rsidRPr="00000000" w14:paraId="000000D2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Contabilidad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Tesorería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0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100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/>
      </w:pPr>
      <w:r w:rsidDel="00000000" w:rsidR="00000000" w:rsidRPr="00000000">
        <w:rPr>
          <w:rtl w:val="0"/>
        </w:rPr>
        <w:t xml:space="preserve">1. Gestión de usuarios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usuarios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Desde aquí puedes: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usuario (nombre, correo, rol y contraseña inicial).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datos o el rol de un usuario.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Restablecer o cambiar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8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08300"/>
            <wp:effectExtent b="0" l="0" r="0" t="0"/>
            <wp:docPr id="100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E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101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rtl w:val="0"/>
        </w:rPr>
        <w:t xml:space="preserve">2. Acceso a todos los módulos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Como Administrador puedes entrar a cualquier panel: gestión de solicitudes,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aprobaciones, panel de proyectos, gestión jurídica, catálogo de proveedores y los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paneles de anticipos de Contabilidad y Tesorería. El funcionamiento de cada uno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está descrito en el capítulo del rol correspondiente: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Compras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Proyectos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Aprobador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Contabilidad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Tesorería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En el panel de Compras, el Administrador puede anular solicitudes y cambiar el gestor de cualquier solicitud, aunque no sea el gestor asignado.</w:t>
      </w:r>
    </w:p>
    <w:p w:rsidR="00000000" w:rsidDel="00000000" w:rsidP="00000000" w:rsidRDefault="00000000" w:rsidRPr="00000000" w14:paraId="000000F7">
      <w:pPr>
        <w:pStyle w:val="Heading2"/>
        <w:rPr/>
      </w:pPr>
      <w:r w:rsidDel="00000000" w:rsidR="00000000" w:rsidRPr="00000000">
        <w:rPr>
          <w:rtl w:val="0"/>
        </w:rPr>
        <w:t xml:space="preserve">3. Dashboard de tiempos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indicadores de tiempos de atención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las solicitudes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(cuánto tardan entre etapas), con gráficas.</w:t>
      </w:r>
    </w:p>
    <w:p w:rsidR="00000000" w:rsidDel="00000000" w:rsidP="00000000" w:rsidRDefault="00000000" w:rsidRPr="00000000" w14:paraId="000000FB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FC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327400"/>
            <wp:effectExtent b="0" l="0" r="0" t="0"/>
            <wp:docPr id="101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color w:val="6b7280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rPr/>
      </w:pPr>
      <w:r w:rsidDel="00000000" w:rsidR="00000000" w:rsidRPr="00000000">
        <w:rPr>
          <w:rtl w:val="0"/>
        </w:rPr>
        <w:t xml:space="preserve">4. Requerimientos pendientes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el listado consolidado de requerimientos que están pendientes de acción.</w:t>
      </w:r>
    </w:p>
    <w:p w:rsidR="00000000" w:rsidDel="00000000" w:rsidP="00000000" w:rsidRDefault="00000000" w:rsidRPr="00000000" w14:paraId="0000010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0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01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r w:rsidDel="00000000" w:rsidR="00000000" w:rsidRPr="00000000">
        <w:rPr>
          <w:rtl w:val="0"/>
        </w:rPr>
        <w:t xml:space="preserve">5. Finalizar contrato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 el contrato y registra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0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10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22.png"/><Relationship Id="rId17" Type="http://schemas.openxmlformats.org/officeDocument/2006/relationships/image" Target="media/image8.png"/><Relationship Id="rId18" Type="http://schemas.openxmlformats.org/officeDocument/2006/relationships/image" Target="media/image21.png"/><Relationship Id="rId19" Type="http://schemas.openxmlformats.org/officeDocument/2006/relationships/image" Target="media/image33.png"/><Relationship Id="rId20" Type="http://schemas.openxmlformats.org/officeDocument/2006/relationships/image" Target="media/image38.png"/><Relationship Id="rId2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