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Administrador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tl w:val="0"/>
        </w:rPr>
        <w:t xml:space="preserve">Rol: Administrador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El Administrador tiene acceso a </w:t>
      </w:r>
      <w:r w:rsidDel="00000000" w:rsidR="00000000" w:rsidRPr="00000000">
        <w:rPr>
          <w:b w:val="1"/>
          <w:bCs w:val="1"/>
          <w:rtl w:val="0"/>
        </w:rPr>
        <w:t xml:space="preserve">todos los módulos</w:t>
      </w:r>
      <w:r w:rsidDel="00000000" w:rsidR="00000000" w:rsidRPr="00000000">
        <w:rPr>
          <w:rtl w:val="0"/>
        </w:rPr>
        <w:t xml:space="preserve"> del sistema y administra los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. Puede ver y actuar como cualquier otro rol.</w:t>
      </w:r>
    </w:p>
    <w:p w:rsidR="00000000" w:rsidDel="00000000" w:rsidP="00000000" w:rsidRDefault="00000000" w:rsidRPr="00000000" w14:paraId="000000D2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Contabilidad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Tesorería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E0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1008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rPr/>
      </w:pPr>
      <w:r w:rsidDel="00000000" w:rsidR="00000000" w:rsidRPr="00000000">
        <w:rPr>
          <w:rtl w:val="0"/>
        </w:rPr>
        <w:t xml:space="preserve">1. Gestión de usuarios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usuarios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Desde aquí puedes: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usuario (nombre, correo, rol y contraseña inicial).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datos o el rol de un usuario.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Restablecer o cambiar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E8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08300"/>
            <wp:effectExtent b="0" l="0" r="0" t="0"/>
            <wp:docPr id="100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E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101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rtl w:val="0"/>
        </w:rPr>
        <w:t xml:space="preserve">2. Acceso a todos los módulos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Como Administrador puedes entrar a cualquier panel: gestión de solicitudes,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aprobaciones, panel de proyectos, gestión jurídica, catálogo de proveedores y los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paneles de anticipos de Contabilidad y Tesorería. El funcionamiento de cada uno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está descrito en el capítulo del rol correspondiente: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Compras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Proyectos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Aprobador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Contabilidad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Tesorería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En el panel de Compras, el Administrador puede anular solicitudes y cambiar el gestor de cualquier solicitud, aunque no sea el gestor asignado.</w:t>
      </w:r>
    </w:p>
    <w:p w:rsidR="00000000" w:rsidDel="00000000" w:rsidP="00000000" w:rsidRDefault="00000000" w:rsidRPr="00000000" w14:paraId="000000EC">
      <w:pPr>
        <w:rPr/>
      </w:pPr>
      <w:r>
        <w:t>En Aprobar solicitudes también consulta las decisiones de todos los aprobadores, con el nombre de quien decidió, la fecha y el estado actual.</w:t>
      </w:r>
    </w:p>
    <w:p w:rsidR="00000000" w:rsidDel="00000000" w:rsidP="00000000" w:rsidRDefault="00000000" w:rsidRPr="00000000" w14:paraId="000000F7">
      <w:pPr>
        <w:pStyle w:val="Heading2"/>
        <w:rPr/>
      </w:pPr>
      <w:r w:rsidDel="00000000" w:rsidR="00000000" w:rsidRPr="00000000">
        <w:rPr>
          <w:rtl w:val="0"/>
        </w:rPr>
        <w:t xml:space="preserve">3. Dashboard de tiempos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indicadores de tiempos de atención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las solicitudes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(cuánto tardan entre etapas), con gráficas.</w:t>
      </w:r>
    </w:p>
    <w:p w:rsidR="00000000" w:rsidDel="00000000" w:rsidP="00000000" w:rsidRDefault="00000000" w:rsidRPr="00000000" w14:paraId="000000FB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FC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327400"/>
            <wp:effectExtent b="0" l="0" r="0" t="0"/>
            <wp:docPr id="101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color w:val="6b7280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rPr/>
      </w:pPr>
      <w:r w:rsidDel="00000000" w:rsidR="00000000" w:rsidRPr="00000000">
        <w:rPr>
          <w:rtl w:val="0"/>
        </w:rPr>
        <w:t xml:space="preserve">4. Requerimientos pendientes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el listado consolidado de requerimientos que están pendientes de acción.</w:t>
      </w:r>
    </w:p>
    <w:p w:rsidR="00000000" w:rsidDel="00000000" w:rsidP="00000000" w:rsidRDefault="00000000" w:rsidRPr="00000000" w14:paraId="0000010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0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101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/>
      </w:pPr>
      <w:r w:rsidDel="00000000" w:rsidR="00000000" w:rsidRPr="00000000">
        <w:rPr>
          <w:rtl w:val="0"/>
        </w:rPr>
        <w:t xml:space="preserve">5. Finalizar contrato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Selecciona el contrato y registra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0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10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22.png"/><Relationship Id="rId17" Type="http://schemas.openxmlformats.org/officeDocument/2006/relationships/image" Target="media/image8.png"/><Relationship Id="rId18" Type="http://schemas.openxmlformats.org/officeDocument/2006/relationships/image" Target="media/image21.png"/><Relationship Id="rId19" Type="http://schemas.openxmlformats.org/officeDocument/2006/relationships/image" Target="media/image33.png"/><Relationship Id="rId20" Type="http://schemas.openxmlformats.org/officeDocument/2006/relationships/image" Target="media/image38.png"/><Relationship Id="rId2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