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Tesorería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Rol: Tesorería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Tesorería </w:t>
      </w:r>
      <w:r w:rsidDel="00000000" w:rsidR="00000000" w:rsidRPr="00000000">
        <w:rPr>
          <w:b w:val="1"/>
          <w:bCs w:val="1"/>
          <w:rtl w:val="0"/>
        </w:rPr>
        <w:t xml:space="preserve">paga los anticipos</w:t>
      </w:r>
      <w:r w:rsidDel="00000000" w:rsidR="00000000" w:rsidRPr="00000000">
        <w:rPr>
          <w:rtl w:val="0"/>
        </w:rPr>
        <w:t xml:space="preserve"> una vez que Contabilidad los ha gestionado.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pagar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C5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16200"/>
            <wp:effectExtent b="0" l="0" r="0" t="0"/>
            <wp:docPr id="100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1. Anticipos por pagar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pagar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los anticipos que están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de Tesorería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anticipo para revisar el detalle y su trazabilidad.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 del anticipo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el estado avanza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 pagado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queda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1.4 — 09/10/2026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Salida de Consumibles: </w:t>
      </w:r>
      <w:r>
        <w:t>cada consumible registra su propio centro de costo; comienza con el centro general y puede cambiarse por fila.</w:t>
      </w:r>
    </w:p>
    <w:p w:rsidR="00000000" w:rsidDel="00000000" w:rsidP="00000000" w:rsidRDefault="00000000" w:rsidRPr="00000000" w14:paraId="00000123">
      <w:pPr>
        <w:rPr/>
      </w:pPr>
      <w:r>
        <w:rPr>
          <w:b/>
        </w:rPr>
        <w:t xml:space="preserve">Roles afectados: </w:t>
      </w:r>
      <w:r>
        <w:t>Supervisor.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