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Tesorería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(gerencia financiera).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Segunda aprobación (gerencia financiera).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Anulada.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C1">
      <w:pPr>
        <w:pStyle w:val="Heading1"/>
        <w:rPr/>
      </w:pPr>
      <w:r w:rsidDel="00000000" w:rsidR="00000000" w:rsidRPr="00000000">
        <w:rPr>
          <w:rtl w:val="0"/>
        </w:rPr>
        <w:t xml:space="preserve">Rol: Tesorería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Tesorería </w:t>
      </w:r>
      <w:r w:rsidDel="00000000" w:rsidR="00000000" w:rsidRPr="00000000">
        <w:rPr>
          <w:b w:val="1"/>
          <w:bCs w:val="1"/>
          <w:rtl w:val="0"/>
        </w:rPr>
        <w:t xml:space="preserve">paga los anticipos</w:t>
      </w:r>
      <w:r w:rsidDel="00000000" w:rsidR="00000000" w:rsidRPr="00000000">
        <w:rPr>
          <w:rtl w:val="0"/>
        </w:rPr>
        <w:t xml:space="preserve"> una vez que Contabilidad los ha gestionado.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C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16200"/>
            <wp:effectExtent b="0" l="0" r="0" t="0"/>
            <wp:docPr id="100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1. Anticipos por pagar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Tesorería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y su trazabilidad.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pago del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el estado avanza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 pagado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queda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