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6C0" w:rsidRDefault="00E816C0" w:rsidP="00E816C0">
      <w:pPr>
        <w:jc w:val="center"/>
        <w:rPr>
          <w:sz w:val="24"/>
          <w:szCs w:val="24"/>
          <w:u w:val="single"/>
        </w:rPr>
      </w:pPr>
      <w:r w:rsidRPr="00A66BDE">
        <w:rPr>
          <w:sz w:val="24"/>
          <w:szCs w:val="24"/>
          <w:highlight w:val="yellow"/>
          <w:u w:val="single"/>
        </w:rPr>
        <w:t xml:space="preserve">Reunión en la Oficina </w:t>
      </w:r>
      <w:r w:rsidR="00FC54E1" w:rsidRPr="00A66BDE">
        <w:rPr>
          <w:sz w:val="24"/>
          <w:szCs w:val="24"/>
          <w:highlight w:val="yellow"/>
          <w:u w:val="single"/>
        </w:rPr>
        <w:t>Leibinit Mendoza</w:t>
      </w:r>
      <w:r w:rsidRPr="00A66BDE">
        <w:rPr>
          <w:sz w:val="24"/>
          <w:szCs w:val="24"/>
          <w:highlight w:val="yellow"/>
          <w:u w:val="single"/>
        </w:rPr>
        <w:t>.</w:t>
      </w:r>
    </w:p>
    <w:p w:rsidR="00E816C0" w:rsidRDefault="00E816C0" w:rsidP="00E816C0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Asistentes.</w:t>
      </w:r>
    </w:p>
    <w:tbl>
      <w:tblPr>
        <w:tblStyle w:val="Sombreadoclaro-nfasis1"/>
        <w:tblpPr w:leftFromText="141" w:rightFromText="141" w:vertAnchor="text" w:tblpX="123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52"/>
        <w:gridCol w:w="5812"/>
      </w:tblGrid>
      <w:tr w:rsidR="00E816C0" w:rsidTr="008C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E816C0" w:rsidRDefault="00E816C0" w:rsidP="008C0BF1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Nombres</w:t>
            </w:r>
          </w:p>
        </w:tc>
        <w:tc>
          <w:tcPr>
            <w:tcW w:w="5812" w:type="dxa"/>
          </w:tcPr>
          <w:p w:rsidR="00E816C0" w:rsidRDefault="00E816C0" w:rsidP="008C0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Cargo.</w:t>
            </w:r>
          </w:p>
        </w:tc>
      </w:tr>
      <w:tr w:rsidR="00E816C0" w:rsidTr="008C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E816C0" w:rsidRPr="000C72FA" w:rsidRDefault="00D836B1" w:rsidP="008C0BF1">
            <w:pPr>
              <w:jc w:val="center"/>
              <w:rPr>
                <w:b w:val="0"/>
                <w:sz w:val="24"/>
                <w:szCs w:val="24"/>
                <w:u w:val="single"/>
              </w:rPr>
            </w:pPr>
            <w:r>
              <w:rPr>
                <w:b w:val="0"/>
                <w:sz w:val="24"/>
                <w:szCs w:val="24"/>
                <w:u w:val="single"/>
              </w:rPr>
              <w:t>Nestor Torres</w:t>
            </w:r>
          </w:p>
        </w:tc>
        <w:tc>
          <w:tcPr>
            <w:tcW w:w="5812" w:type="dxa"/>
          </w:tcPr>
          <w:p w:rsidR="00E816C0" w:rsidRDefault="00D836B1" w:rsidP="008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Director Tecnología</w:t>
            </w:r>
          </w:p>
        </w:tc>
      </w:tr>
      <w:tr w:rsidR="00E816C0" w:rsidTr="008C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E816C0" w:rsidRPr="000C72FA" w:rsidRDefault="00D836B1" w:rsidP="00D836B1">
            <w:pPr>
              <w:jc w:val="center"/>
              <w:rPr>
                <w:b w:val="0"/>
                <w:sz w:val="24"/>
                <w:szCs w:val="24"/>
                <w:u w:val="single"/>
              </w:rPr>
            </w:pPr>
            <w:r>
              <w:rPr>
                <w:b w:val="0"/>
                <w:sz w:val="24"/>
                <w:szCs w:val="24"/>
                <w:u w:val="single"/>
              </w:rPr>
              <w:t>Julia Sanchez</w:t>
            </w:r>
          </w:p>
        </w:tc>
        <w:tc>
          <w:tcPr>
            <w:tcW w:w="5812" w:type="dxa"/>
          </w:tcPr>
          <w:p w:rsidR="00E816C0" w:rsidRDefault="00D836B1" w:rsidP="008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Gerente de Operaciones</w:t>
            </w:r>
          </w:p>
        </w:tc>
      </w:tr>
      <w:tr w:rsidR="00E816C0" w:rsidTr="008C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E816C0" w:rsidRPr="000C72FA" w:rsidRDefault="00E816C0" w:rsidP="008C0BF1">
            <w:pPr>
              <w:jc w:val="center"/>
              <w:rPr>
                <w:b w:val="0"/>
                <w:sz w:val="24"/>
                <w:szCs w:val="24"/>
                <w:u w:val="single"/>
              </w:rPr>
            </w:pPr>
            <w:r w:rsidRPr="000C72FA">
              <w:rPr>
                <w:b w:val="0"/>
                <w:sz w:val="24"/>
                <w:szCs w:val="24"/>
                <w:u w:val="single"/>
              </w:rPr>
              <w:t>Alex Campos</w:t>
            </w:r>
          </w:p>
        </w:tc>
        <w:tc>
          <w:tcPr>
            <w:tcW w:w="5812" w:type="dxa"/>
          </w:tcPr>
          <w:p w:rsidR="00E816C0" w:rsidRDefault="000C72FA" w:rsidP="008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Líder Técnico.</w:t>
            </w:r>
          </w:p>
        </w:tc>
      </w:tr>
      <w:tr w:rsidR="00E816C0" w:rsidTr="008C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D3D12" w:rsidRPr="000C72FA" w:rsidRDefault="00CD3D12" w:rsidP="008C0BF1">
            <w:pPr>
              <w:jc w:val="center"/>
              <w:rPr>
                <w:b w:val="0"/>
                <w:sz w:val="24"/>
                <w:szCs w:val="24"/>
                <w:u w:val="single"/>
              </w:rPr>
            </w:pPr>
            <w:r w:rsidRPr="000C72FA">
              <w:rPr>
                <w:b w:val="0"/>
                <w:sz w:val="24"/>
                <w:szCs w:val="24"/>
                <w:u w:val="single"/>
              </w:rPr>
              <w:t>Javier Ceballos</w:t>
            </w:r>
          </w:p>
        </w:tc>
        <w:tc>
          <w:tcPr>
            <w:tcW w:w="5812" w:type="dxa"/>
          </w:tcPr>
          <w:p w:rsidR="00E816C0" w:rsidRDefault="00CD3D12" w:rsidP="008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Desarrollador.</w:t>
            </w:r>
          </w:p>
        </w:tc>
      </w:tr>
      <w:tr w:rsidR="00E816C0" w:rsidTr="008C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E816C0" w:rsidRPr="000C72FA" w:rsidRDefault="00E816C0" w:rsidP="008C0BF1">
            <w:pPr>
              <w:jc w:val="center"/>
              <w:rPr>
                <w:b w:val="0"/>
                <w:sz w:val="24"/>
                <w:szCs w:val="24"/>
                <w:u w:val="single"/>
              </w:rPr>
            </w:pPr>
            <w:r w:rsidRPr="000C72FA">
              <w:rPr>
                <w:b w:val="0"/>
                <w:sz w:val="24"/>
                <w:szCs w:val="24"/>
                <w:u w:val="single"/>
              </w:rPr>
              <w:t xml:space="preserve">Joselly Acosta </w:t>
            </w:r>
          </w:p>
        </w:tc>
        <w:tc>
          <w:tcPr>
            <w:tcW w:w="5812" w:type="dxa"/>
          </w:tcPr>
          <w:p w:rsidR="00E816C0" w:rsidRDefault="00E816C0" w:rsidP="008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Analista Funcional.</w:t>
            </w:r>
          </w:p>
        </w:tc>
      </w:tr>
      <w:tr w:rsidR="00E816C0" w:rsidTr="008C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E816C0" w:rsidRPr="00D836B1" w:rsidRDefault="00D836B1" w:rsidP="008C0BF1">
            <w:pPr>
              <w:jc w:val="center"/>
              <w:rPr>
                <w:b w:val="0"/>
                <w:sz w:val="24"/>
                <w:szCs w:val="24"/>
                <w:u w:val="single"/>
              </w:rPr>
            </w:pPr>
            <w:r w:rsidRPr="00D836B1">
              <w:rPr>
                <w:b w:val="0"/>
                <w:sz w:val="24"/>
                <w:szCs w:val="24"/>
                <w:u w:val="single"/>
              </w:rPr>
              <w:t>Simón</w:t>
            </w:r>
            <w:r>
              <w:rPr>
                <w:b w:val="0"/>
                <w:sz w:val="24"/>
                <w:szCs w:val="24"/>
                <w:u w:val="single"/>
              </w:rPr>
              <w:t xml:space="preserve"> Manzurt</w:t>
            </w:r>
          </w:p>
        </w:tc>
        <w:tc>
          <w:tcPr>
            <w:tcW w:w="5812" w:type="dxa"/>
          </w:tcPr>
          <w:p w:rsidR="00E816C0" w:rsidRDefault="00A373BD" w:rsidP="00A3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Consultor desarrollo .Net</w:t>
            </w:r>
          </w:p>
        </w:tc>
      </w:tr>
      <w:tr w:rsidR="00E816C0" w:rsidTr="008C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E816C0" w:rsidRPr="00D836B1" w:rsidRDefault="00D836B1" w:rsidP="008C0BF1">
            <w:pPr>
              <w:jc w:val="center"/>
              <w:rPr>
                <w:b w:val="0"/>
                <w:sz w:val="24"/>
                <w:szCs w:val="24"/>
                <w:u w:val="single"/>
              </w:rPr>
            </w:pPr>
            <w:r w:rsidRPr="00D836B1">
              <w:rPr>
                <w:b w:val="0"/>
                <w:sz w:val="24"/>
                <w:szCs w:val="24"/>
                <w:u w:val="single"/>
              </w:rPr>
              <w:t>Antonio</w:t>
            </w:r>
            <w:r w:rsidR="00A373BD">
              <w:rPr>
                <w:b w:val="0"/>
                <w:sz w:val="24"/>
                <w:szCs w:val="24"/>
                <w:u w:val="single"/>
              </w:rPr>
              <w:t xml:space="preserve"> Carcia</w:t>
            </w:r>
          </w:p>
        </w:tc>
        <w:tc>
          <w:tcPr>
            <w:tcW w:w="5812" w:type="dxa"/>
          </w:tcPr>
          <w:p w:rsidR="00E816C0" w:rsidRDefault="00A373BD" w:rsidP="008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Consultor de arquitectura Global</w:t>
            </w:r>
          </w:p>
        </w:tc>
      </w:tr>
    </w:tbl>
    <w:p w:rsidR="00E816C0" w:rsidRDefault="008C0BF1" w:rsidP="00E816C0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textWrapping" w:clear="all"/>
      </w:r>
    </w:p>
    <w:p w:rsidR="00785B33" w:rsidRDefault="00785B33" w:rsidP="00785B33">
      <w:pPr>
        <w:ind w:firstLine="708"/>
      </w:pPr>
      <w:r w:rsidRPr="00A66BDE">
        <w:rPr>
          <w:highlight w:val="yellow"/>
        </w:rPr>
        <w:t>El día</w:t>
      </w:r>
      <w:r w:rsidRPr="001D03E7">
        <w:t xml:space="preserve"> </w:t>
      </w:r>
      <w:r w:rsidR="00D836B1">
        <w:t>22</w:t>
      </w:r>
      <w:r w:rsidR="001D0C87">
        <w:t>/</w:t>
      </w:r>
      <w:r w:rsidR="00D836B1">
        <w:t>01</w:t>
      </w:r>
      <w:r w:rsidR="001D0C87">
        <w:t>/201</w:t>
      </w:r>
      <w:r w:rsidR="00D836B1">
        <w:t>6</w:t>
      </w:r>
      <w:r w:rsidR="001D0C87">
        <w:t xml:space="preserve"> </w:t>
      </w:r>
      <w:r w:rsidR="00A66BDE" w:rsidRPr="00A66BDE">
        <w:rPr>
          <w:highlight w:val="yellow"/>
        </w:rPr>
        <w:t>se realizó una reunión con el personal antes mencionado</w:t>
      </w:r>
      <w:r w:rsidRPr="00A66BDE">
        <w:rPr>
          <w:highlight w:val="yellow"/>
        </w:rPr>
        <w:t xml:space="preserve"> </w:t>
      </w:r>
      <w:r w:rsidR="001D0C87" w:rsidRPr="00A66BDE">
        <w:rPr>
          <w:highlight w:val="yellow"/>
        </w:rPr>
        <w:t>en la</w:t>
      </w:r>
      <w:r w:rsidR="00A66BDE" w:rsidRPr="00A66BDE">
        <w:rPr>
          <w:highlight w:val="yellow"/>
        </w:rPr>
        <w:t xml:space="preserve">s instalaciones de </w:t>
      </w:r>
      <w:proofErr w:type="spellStart"/>
      <w:r w:rsidR="00A66BDE" w:rsidRPr="00A66BDE">
        <w:rPr>
          <w:highlight w:val="yellow"/>
        </w:rPr>
        <w:t>Veconinter</w:t>
      </w:r>
      <w:proofErr w:type="spellEnd"/>
      <w:r w:rsidR="00A66BDE" w:rsidRPr="00A66BDE">
        <w:rPr>
          <w:highlight w:val="yellow"/>
        </w:rPr>
        <w:t xml:space="preserve"> en la</w:t>
      </w:r>
      <w:r w:rsidR="001D0C87" w:rsidRPr="00A66BDE">
        <w:rPr>
          <w:highlight w:val="yellow"/>
        </w:rPr>
        <w:t xml:space="preserve"> oficina </w:t>
      </w:r>
      <w:r w:rsidR="00D836B1" w:rsidRPr="00A66BDE">
        <w:rPr>
          <w:highlight w:val="yellow"/>
        </w:rPr>
        <w:t>del</w:t>
      </w:r>
      <w:r w:rsidR="00D836B1">
        <w:t xml:space="preserve"> Sr. Nestor T. para tratar asuntos sobre Cambios y Arquitectura del Sistema de Cobranzas.</w:t>
      </w:r>
    </w:p>
    <w:p w:rsidR="0061762A" w:rsidRPr="00D836B1" w:rsidRDefault="00785B33" w:rsidP="00EC0F18">
      <w:pPr>
        <w:ind w:firstLine="708"/>
      </w:pPr>
      <w:r w:rsidRPr="00B17E4E">
        <w:rPr>
          <w:b/>
          <w:highlight w:val="yellow"/>
        </w:rPr>
        <w:t xml:space="preserve">PRIMERO: </w:t>
      </w:r>
      <w:r w:rsidR="00A66BDE" w:rsidRPr="00B17E4E">
        <w:rPr>
          <w:highlight w:val="yellow"/>
        </w:rPr>
        <w:t>Se inicia la reunión con la propuesta del</w:t>
      </w:r>
      <w:r w:rsidR="00D836B1" w:rsidRPr="00B17E4E">
        <w:rPr>
          <w:highlight w:val="yellow"/>
        </w:rPr>
        <w:t xml:space="preserve"> Sr. Alex C. </w:t>
      </w:r>
      <w:r w:rsidR="00A66BDE" w:rsidRPr="00B17E4E">
        <w:rPr>
          <w:highlight w:val="yellow"/>
        </w:rPr>
        <w:t>sobre la mejora para el Sistema de Cobranza,</w:t>
      </w:r>
      <w:r w:rsidR="00D836B1" w:rsidRPr="00B17E4E">
        <w:rPr>
          <w:highlight w:val="yellow"/>
        </w:rPr>
        <w:t xml:space="preserve"> Siendo</w:t>
      </w:r>
      <w:r w:rsidR="005E0FDF" w:rsidRPr="00B17E4E">
        <w:rPr>
          <w:highlight w:val="yellow"/>
        </w:rPr>
        <w:t xml:space="preserve"> la</w:t>
      </w:r>
      <w:r w:rsidR="00A66BDE" w:rsidRPr="00B17E4E">
        <w:rPr>
          <w:highlight w:val="yellow"/>
        </w:rPr>
        <w:t xml:space="preserve"> misma</w:t>
      </w:r>
      <w:r w:rsidR="00D836B1" w:rsidRPr="00B17E4E">
        <w:rPr>
          <w:highlight w:val="yellow"/>
        </w:rPr>
        <w:t xml:space="preserve"> desac</w:t>
      </w:r>
      <w:r w:rsidR="00A66BDE" w:rsidRPr="00B17E4E">
        <w:rPr>
          <w:highlight w:val="yellow"/>
        </w:rPr>
        <w:t xml:space="preserve">oplar los servicios del Sistema, ya que actualmente está definido en un único bloque que está comprendido </w:t>
      </w:r>
      <w:r w:rsidR="005E0FDF" w:rsidRPr="00B17E4E">
        <w:rPr>
          <w:highlight w:val="yellow"/>
        </w:rPr>
        <w:t>por</w:t>
      </w:r>
      <w:r w:rsidR="00D836B1" w:rsidRPr="00B17E4E">
        <w:rPr>
          <w:highlight w:val="yellow"/>
        </w:rPr>
        <w:t xml:space="preserve"> </w:t>
      </w:r>
      <w:r w:rsidR="00A66BDE" w:rsidRPr="00B17E4E">
        <w:rPr>
          <w:highlight w:val="yellow"/>
          <w:u w:val="single"/>
        </w:rPr>
        <w:t>S</w:t>
      </w:r>
      <w:r w:rsidR="00D836B1" w:rsidRPr="00B17E4E">
        <w:rPr>
          <w:highlight w:val="yellow"/>
          <w:u w:val="single"/>
        </w:rPr>
        <w:t>ervicios, Cen</w:t>
      </w:r>
      <w:r w:rsidR="00B17E4E" w:rsidRPr="00B17E4E">
        <w:rPr>
          <w:highlight w:val="yellow"/>
          <w:u w:val="single"/>
        </w:rPr>
        <w:t>tral IP, Correos, Base de Datos y</w:t>
      </w:r>
      <w:r w:rsidR="00D836B1" w:rsidRPr="00B17E4E">
        <w:rPr>
          <w:highlight w:val="yellow"/>
          <w:u w:val="single"/>
        </w:rPr>
        <w:t xml:space="preserve"> Cobranzas. </w:t>
      </w:r>
      <w:r w:rsidR="00D836B1" w:rsidRPr="00B17E4E">
        <w:rPr>
          <w:highlight w:val="yellow"/>
        </w:rPr>
        <w:t xml:space="preserve"> De esta manera indica</w:t>
      </w:r>
      <w:r w:rsidR="00A66BDE" w:rsidRPr="00B17E4E">
        <w:rPr>
          <w:highlight w:val="yellow"/>
        </w:rPr>
        <w:t xml:space="preserve"> que </w:t>
      </w:r>
      <w:r w:rsidR="00D836B1" w:rsidRPr="00B17E4E">
        <w:rPr>
          <w:highlight w:val="yellow"/>
        </w:rPr>
        <w:t>será más efectivo</w:t>
      </w:r>
      <w:r w:rsidR="00A66BDE" w:rsidRPr="00B17E4E">
        <w:rPr>
          <w:highlight w:val="yellow"/>
        </w:rPr>
        <w:t>,</w:t>
      </w:r>
      <w:r w:rsidR="00D836B1" w:rsidRPr="00B17E4E">
        <w:rPr>
          <w:highlight w:val="yellow"/>
        </w:rPr>
        <w:t xml:space="preserve"> </w:t>
      </w:r>
      <w:r w:rsidR="005E0FDF" w:rsidRPr="00B17E4E">
        <w:rPr>
          <w:highlight w:val="yellow"/>
        </w:rPr>
        <w:t xml:space="preserve">a la hora de </w:t>
      </w:r>
      <w:r w:rsidR="00D836B1" w:rsidRPr="00B17E4E">
        <w:rPr>
          <w:highlight w:val="yellow"/>
        </w:rPr>
        <w:t>real</w:t>
      </w:r>
      <w:r w:rsidR="005E0FDF" w:rsidRPr="00B17E4E">
        <w:rPr>
          <w:highlight w:val="yellow"/>
        </w:rPr>
        <w:t xml:space="preserve">izar modificaciones en el código y al </w:t>
      </w:r>
      <w:r w:rsidR="00D836B1" w:rsidRPr="00B17E4E">
        <w:rPr>
          <w:highlight w:val="yellow"/>
        </w:rPr>
        <w:t xml:space="preserve">momento </w:t>
      </w:r>
      <w:r w:rsidR="005E0FDF" w:rsidRPr="00B17E4E">
        <w:rPr>
          <w:highlight w:val="yellow"/>
        </w:rPr>
        <w:t xml:space="preserve">que </w:t>
      </w:r>
      <w:r w:rsidR="00D836B1" w:rsidRPr="00B17E4E">
        <w:rPr>
          <w:highlight w:val="yellow"/>
        </w:rPr>
        <w:t>este presentando inconvenientes</w:t>
      </w:r>
      <w:r w:rsidR="00B17E4E" w:rsidRPr="00B17E4E">
        <w:rPr>
          <w:highlight w:val="yellow"/>
        </w:rPr>
        <w:t>, de esta manera</w:t>
      </w:r>
      <w:r w:rsidR="005E0FDF" w:rsidRPr="00B17E4E">
        <w:rPr>
          <w:highlight w:val="yellow"/>
        </w:rPr>
        <w:t xml:space="preserve"> se puede publicar las modificaciones sin afectar la operatividad de cobranzas, </w:t>
      </w:r>
      <w:r w:rsidR="00B17E4E" w:rsidRPr="00B17E4E">
        <w:rPr>
          <w:highlight w:val="yellow"/>
        </w:rPr>
        <w:t>ya que</w:t>
      </w:r>
      <w:r w:rsidR="005E0FDF" w:rsidRPr="00B17E4E">
        <w:rPr>
          <w:highlight w:val="yellow"/>
        </w:rPr>
        <w:t xml:space="preserve"> actualmente el proceso que se tiene que realizar es</w:t>
      </w:r>
      <w:r w:rsidR="00D836B1" w:rsidRPr="00B17E4E">
        <w:rPr>
          <w:highlight w:val="yellow"/>
        </w:rPr>
        <w:t xml:space="preserve"> bajar todo el código, realizar los cambios y nuevamente subir</w:t>
      </w:r>
      <w:r w:rsidR="005E0FDF" w:rsidRPr="00B17E4E">
        <w:rPr>
          <w:highlight w:val="yellow"/>
        </w:rPr>
        <w:t xml:space="preserve">lo </w:t>
      </w:r>
      <w:r w:rsidR="00D836B1" w:rsidRPr="00B17E4E">
        <w:rPr>
          <w:highlight w:val="yellow"/>
        </w:rPr>
        <w:t xml:space="preserve"> </w:t>
      </w:r>
      <w:r w:rsidR="005E0FDF" w:rsidRPr="00B17E4E">
        <w:rPr>
          <w:highlight w:val="yellow"/>
        </w:rPr>
        <w:t>causando</w:t>
      </w:r>
      <w:r w:rsidR="00D836B1" w:rsidRPr="00B17E4E">
        <w:rPr>
          <w:highlight w:val="yellow"/>
        </w:rPr>
        <w:t xml:space="preserve"> retrasos innecesarios </w:t>
      </w:r>
      <w:r w:rsidR="00A373BD" w:rsidRPr="00B17E4E">
        <w:rPr>
          <w:highlight w:val="yellow"/>
        </w:rPr>
        <w:t>en la operatividad.</w:t>
      </w:r>
      <w:r w:rsidR="00A373BD">
        <w:t xml:space="preserve"> </w:t>
      </w:r>
    </w:p>
    <w:p w:rsidR="00E816C0" w:rsidRDefault="000C72FA" w:rsidP="00B33F9F">
      <w:pPr>
        <w:ind w:firstLine="708"/>
        <w:rPr>
          <w:b/>
        </w:rPr>
      </w:pPr>
      <w:r>
        <w:rPr>
          <w:b/>
        </w:rPr>
        <w:t xml:space="preserve">SEGUNDO: </w:t>
      </w:r>
      <w:r>
        <w:t xml:space="preserve">Se </w:t>
      </w:r>
      <w:r w:rsidR="00A373BD">
        <w:t xml:space="preserve">llega a la conclusión de realizar  el desacoplamiento del Sistema de Cobranzas </w:t>
      </w:r>
      <w:r w:rsidR="00B17E4E">
        <w:t>e</w:t>
      </w:r>
      <w:r w:rsidR="00185773">
        <w:t>n los pequeños bloques individuales para realizar mejoras conti</w:t>
      </w:r>
      <w:r w:rsidR="00B17E4E">
        <w:t xml:space="preserve">nuas y seguir usando </w:t>
      </w:r>
      <w:proofErr w:type="spellStart"/>
      <w:r w:rsidR="00B17E4E" w:rsidRPr="00B17E4E">
        <w:rPr>
          <w:highlight w:val="yellow"/>
        </w:rPr>
        <w:t>LinQ</w:t>
      </w:r>
      <w:bookmarkStart w:id="0" w:name="_GoBack"/>
      <w:bookmarkEnd w:id="0"/>
      <w:proofErr w:type="spellEnd"/>
      <w:r w:rsidR="00185773">
        <w:t xml:space="preserve"> , así a la hora de realizar cambios en la BD para otra no afecte la operatividad del departamento de Cobranzas,</w:t>
      </w:r>
    </w:p>
    <w:sectPr w:rsidR="00E816C0" w:rsidSect="00E816C0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4E8" w:rsidRDefault="002C34E8" w:rsidP="00E816C0">
      <w:pPr>
        <w:spacing w:after="0" w:line="240" w:lineRule="auto"/>
      </w:pPr>
      <w:r>
        <w:separator/>
      </w:r>
    </w:p>
  </w:endnote>
  <w:endnote w:type="continuationSeparator" w:id="0">
    <w:p w:rsidR="002C34E8" w:rsidRDefault="002C34E8" w:rsidP="00E8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4E8" w:rsidRDefault="002C34E8" w:rsidP="00E816C0">
      <w:pPr>
        <w:spacing w:after="0" w:line="240" w:lineRule="auto"/>
      </w:pPr>
      <w:r>
        <w:separator/>
      </w:r>
    </w:p>
  </w:footnote>
  <w:footnote w:type="continuationSeparator" w:id="0">
    <w:p w:rsidR="002C34E8" w:rsidRDefault="002C34E8" w:rsidP="00E81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6C0" w:rsidRDefault="00E816C0">
    <w:pPr>
      <w:pStyle w:val="Encabezado"/>
    </w:pPr>
    <w:r>
      <w:t xml:space="preserve">  </w:t>
    </w:r>
    <w:r>
      <w:rPr>
        <w:noProof/>
        <w:lang w:eastAsia="es-VE"/>
      </w:rPr>
      <w:drawing>
        <wp:inline distT="0" distB="0" distL="0" distR="0" wp14:anchorId="185414EC" wp14:editId="6CB35090">
          <wp:extent cx="1419225" cy="57453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84" cy="586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</w:t>
    </w:r>
    <w:r>
      <w:rPr>
        <w:rFonts w:ascii="Arial" w:hAnsi="Arial"/>
        <w:noProof/>
        <w:lang w:eastAsia="es-VE"/>
      </w:rPr>
      <w:drawing>
        <wp:inline distT="0" distB="0" distL="0" distR="0" wp14:anchorId="3626924F" wp14:editId="00C7AD0E">
          <wp:extent cx="2543175" cy="568085"/>
          <wp:effectExtent l="0" t="0" r="0" b="3810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Veconinter-Pagina-We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9256" cy="589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816C0" w:rsidRPr="00E816C0" w:rsidRDefault="00E816C0" w:rsidP="00E816C0">
    <w:pPr>
      <w:pStyle w:val="Encabezado"/>
      <w:jc w:val="right"/>
      <w:rPr>
        <w:i/>
        <w:sz w:val="24"/>
        <w:szCs w:val="24"/>
      </w:rPr>
    </w:pPr>
    <w:r w:rsidRPr="00E816C0">
      <w:rPr>
        <w:i/>
        <w:sz w:val="24"/>
        <w:szCs w:val="24"/>
      </w:rPr>
      <w:t>Documentación 0</w:t>
    </w:r>
    <w:r w:rsidR="000C72FA">
      <w:rPr>
        <w:i/>
        <w:sz w:val="24"/>
        <w:szCs w:val="24"/>
      </w:rPr>
      <w:t>5</w:t>
    </w:r>
    <w:r w:rsidRPr="00E816C0">
      <w:rPr>
        <w:i/>
        <w:sz w:val="24"/>
        <w:szCs w:val="24"/>
      </w:rPr>
      <w:t xml:space="preserve">/11/2015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6C0"/>
    <w:rsid w:val="000C72FA"/>
    <w:rsid w:val="000F3990"/>
    <w:rsid w:val="00185773"/>
    <w:rsid w:val="001D0C87"/>
    <w:rsid w:val="001E6A13"/>
    <w:rsid w:val="002C34E8"/>
    <w:rsid w:val="00535975"/>
    <w:rsid w:val="00536859"/>
    <w:rsid w:val="005E0FDF"/>
    <w:rsid w:val="0061762A"/>
    <w:rsid w:val="006246E8"/>
    <w:rsid w:val="006C6F3C"/>
    <w:rsid w:val="00734F47"/>
    <w:rsid w:val="00785B33"/>
    <w:rsid w:val="0080584D"/>
    <w:rsid w:val="00870BC2"/>
    <w:rsid w:val="008A57BA"/>
    <w:rsid w:val="008C0BF1"/>
    <w:rsid w:val="00A373BD"/>
    <w:rsid w:val="00A66BDE"/>
    <w:rsid w:val="00AB49A2"/>
    <w:rsid w:val="00B17E4E"/>
    <w:rsid w:val="00B33F9F"/>
    <w:rsid w:val="00CD3D12"/>
    <w:rsid w:val="00D554FF"/>
    <w:rsid w:val="00D836B1"/>
    <w:rsid w:val="00DE1912"/>
    <w:rsid w:val="00E816C0"/>
    <w:rsid w:val="00EC0F18"/>
    <w:rsid w:val="00F85EF0"/>
    <w:rsid w:val="00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2E9ECB-CBD0-4489-8E68-9C3B3F02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6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1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6C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81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16C0"/>
  </w:style>
  <w:style w:type="paragraph" w:styleId="Piedepgina">
    <w:name w:val="footer"/>
    <w:basedOn w:val="Normal"/>
    <w:link w:val="PiedepginaCar"/>
    <w:uiPriority w:val="99"/>
    <w:unhideWhenUsed/>
    <w:rsid w:val="00E81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6C0"/>
  </w:style>
  <w:style w:type="table" w:styleId="Tablaconcuadrcula">
    <w:name w:val="Table Grid"/>
    <w:basedOn w:val="Tablanormal"/>
    <w:uiPriority w:val="59"/>
    <w:rsid w:val="00E81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1">
    <w:name w:val="Medium List 1 Accent 1"/>
    <w:basedOn w:val="Tablanormal"/>
    <w:uiPriority w:val="65"/>
    <w:rsid w:val="00E816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E816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76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76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76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76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76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Joselly Acosta</dc:creator>
  <cp:lastModifiedBy>Javier Ceballos</cp:lastModifiedBy>
  <cp:revision>7</cp:revision>
  <dcterms:created xsi:type="dcterms:W3CDTF">2015-11-10T13:49:00Z</dcterms:created>
  <dcterms:modified xsi:type="dcterms:W3CDTF">2016-01-28T19:00:00Z</dcterms:modified>
</cp:coreProperties>
</file>