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8tmik8lu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Financiación de clientes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sabxy0hkt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Claim principal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Facilitamos la inversión en imagen visual adaptándonos a la tesorería de cada empresa.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1nc4pr8dp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implantación, renovación o mantenimiento de la imagen corporativa puede implicar inversiones relevantes, especialmente cuando afecta a varias oficinas, tiendas, locales o puntos de venta.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en Xprinta no solo gestionamos el proyecto técnico y operativo: también buscamos facilitar la forma de pago para que cada empresa pueda avanzar sin tensionar innecesariamente su tesorería.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cb2aqzqw9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significa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financiación de clientes significa que Xprinta se adapta, siempre que sea posible, a la forma de pago habitual de cada marca y ofrece alternativas propias de financiación para facilitar la inversión.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estas opciones se encuentra la posibilidad de financiar hasta en cuatro plazos sin intereses mediante FlexiPay, o hasta en 60 meses mediante renting tecnológico eRenting, con solicitud y autorización online, de forma rápida y sin trámites complejos.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soluciones permiten distribuir el coste del proyecto en el tiempo y adaptar la inversión al ritmo financiero de la empresa.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0rmbp844f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es importante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proyectos de rotulación, señalética o implantación de marca, el coste no siempre coincide con el momento ideal de tesorería. Una apertura, un rebranding, una renovación de fachada o una actuación nacional pueden concentrar inversión en un periodo muy concreto.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Contar con opciones de financiación ayuda a planificar mejor, evitar retrasos por motivos presupuestarios y ejecutar la imagen de marca cuando el negocio lo necesita.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aporta flexibilidad a departamentos de compras, marketing, expansión, operaciones o dirección financiera, que pueden valorar distintas fórmulas de pago según el alcance, número de ubicaciones y calendario del proyecto.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9rkpb0ppg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aporta al cliente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Mayor flexibilidad para afrontar proyectos de imagen visual.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Adaptación a la forma de pago habitual de la marca.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financiar hasta en cuatro plazos sin intereses mediante FlexiPay.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Alternativa de financiación hasta en 60 meses mediante renting tecnológico eRenting.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 y autorización online, rápida y sin papeleos innecesarios.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planificación de la tesorería.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impacto inicial en proyectos de apertura, renovación o rebranding.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facilidad para abordar actuaciones en varios puntos de venta.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Apoyo a equipos de compras, marketing, expansión, operaciones y finanzas.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para ejecutar proyectos necesarios sin bloquear decisiones por concentración de inversión.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xg36npvj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Aplicado a proyectos reales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apertura de tienda, oficina o local, la financiación permite distribuir el coste de rótulos, vinilos, señalética, elementos luminosos o soportes de fachada, facilitando que la imagen esté lista en el momento previsto.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 proyecto de rebranding, ayuda a abordar la renovación de varios espacios sin concentrar toda la inversión al inicio.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actuaciones nacionales, permite planificar la implantación por fases y ajustar los pagos al calendario del proyecto.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en mantenimiento o renovación de elementos existentes, ofrece una vía para actuar a tiempo sin posponer intervenciones que pueden afectar a la presencia visual de la marca.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1k0ligazd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Xprinta, la financiación se convierte en una herramienta más para facilitar la implantación de tu imagen, proteger la tesorería de la empresa y avanzar con mayor flexibilidad en cada proyecto.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