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dmcvp3698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Legalización de proyectos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jmdthp4wl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Claim principal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Rotulación preparada para cumplir con la normativa municipal en cualquier ciudad de España.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vq0bgpmy4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imagen exterior de un punto de venta no depende solo del diseño, la fabricación o la instalación. Cada vez con más frecuencia, la rotulación debe adaptarse a ordenanzas municipales, criterios técnicos y requisitos administrativos específicos de cada ayuntamiento.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Xprinta acompaña a las empresas en la legalización de sus proyectos de imagen, ayudando a que sus rótulos, luminosos, lonas, vinilos exteriores o elementos de fachada se implanten con mayor seguridad y control normativo.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2mr1ug5aj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significa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legalización de proyectos significa gestionar la parte técnica y administrativa necesaria para que una instalación de rotulación pueda cumplir con las exigencias municipales aplicables.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Xprinta cuenta con capacidad para realizar proyectos técnicos de legalización en cualquier ciudad de España, incluyendo visado profesional cuando sea requerido, pago de tasas si procede y preparación de la documentación necesaria para ajustarse a las ordenanzas de publicidad exterior municipales.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permite integrar la legalización dentro del propio proceso de implantación de marca, sin que el cliente tenga que coordinar por separado a distintos agentes técnicos o administrativos.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mpv1wdicb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Por qué es importante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municipio puede establecer condiciones distintas sobre dimensiones, ubicación, iluminación, materiales, salientes, soportes, horarios, estética urbana o documentación exigida para la instalación de elementos publicitarios exteriores.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empresas con varios puntos de venta, esta diversidad normativa puede convertirse en una fuente de retrasos, incidencias o costes imprevistos si no se gestiona correctamente desde el inicio.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Contar con un partner que pueda coordinar la legalización evita improvisaciones, reduce riesgos administrativos y facilita que el proyecto avance con una base técnica más sólida.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49t8or7ef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aporta al cliente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Gestión técnica de legalización para proyectos de rotulación.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de actuación en cualquier ciudad de España.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a ordenanzas municipales de publicidad exterior.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documentación técnica requerida.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Inclusión de visado profesional cuando sea necesario.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del pago de tasas cuando proceda.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carga administrativa para equipos internos del cliente.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riesgos por incumplimiento o falta de documentación.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seguridad en aperturas, reformas, rebrandings e implantaciones nacionales.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Coordinación entre diseño, fabricación, instalación y requisitos legales.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control de plazos e incidencias derivadas de trámites municipales.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x9kub2pakh7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Aplicado a proyectos reales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apertura de tienda, oficina o local, Xprinta puede integrar la legalización de la rotulación exterior dentro del proceso general del proyecto, revisando los requisitos municipales antes de fabricar o instalar los elementos.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una red de puntos de venta repartidos por España, permite gestionar cada ubicación según la ordenanza aplicable en su municipio, manteniendo una coordinación centralizada y una visión global del avance.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proyectos con luminosos, lonas de fachada, vinilos exteriores o elementos de gran formato, la legalización ayuda a validar aspectos técnicos y administrativos que pueden ser determinantes para la aprobación municipal.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en procesos de rebranding, facilita la sustitución o actualización de la imagen exterior con mayor control, evitando que cada local tenga que resolver el trámite por su cuenta.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nmh4e3des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Cierre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Xprinta, la legalización forma parte de una gestión completa de la imagen en punto de venta: diseño, fabricación, instalación y cumplimiento normativo coordinados desde un único partner.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