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Спринт 4. Проект «Секреты Темнолесья»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 — </w:t>
      </w:r>
      <w:r w:rsidDel="00000000" w:rsidR="00000000" w:rsidRPr="00000000">
        <w:rPr>
          <w:rtl w:val="0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Каламагин Е.В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02.04.20266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aza1re6x8bo" w:id="1"/>
      <w:bookmarkEnd w:id="1"/>
      <w:r w:rsidDel="00000000" w:rsidR="00000000" w:rsidRPr="00000000">
        <w:rPr>
          <w:rtl w:val="0"/>
        </w:rPr>
        <w:t xml:space="preserve">Часть 3. Выводы и аналитические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Задание. </w:t>
      </w:r>
      <w:r w:rsidDel="00000000" w:rsidR="00000000" w:rsidRPr="00000000">
        <w:rPr>
          <w:rtl w:val="0"/>
        </w:rPr>
        <w:t xml:space="preserve"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kh1w4h1tu52" w:id="2"/>
      <w:bookmarkEnd w:id="2"/>
      <w:r w:rsidDel="00000000" w:rsidR="00000000" w:rsidRPr="00000000">
        <w:rPr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tgqb93e8rwi" w:id="3"/>
      <w:bookmarkEnd w:id="3"/>
      <w:r w:rsidDel="00000000" w:rsidR="00000000" w:rsidRPr="00000000">
        <w:rPr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Всего платит около 18% игроков. Минимальная доля у эльфов (17%) и максимальная доля у демонов(19%), можно сделать вывод, что раса не влияет на долю платящих пользователей, они распределены равномерно.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av9jttpy915y" w:id="4"/>
      <w:bookmarkEnd w:id="4"/>
      <w:r w:rsidDel="00000000" w:rsidR="00000000" w:rsidRPr="00000000">
        <w:rPr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Всего было совершено около 1 300 000 покупок на сумму более 686 млн.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стоимость покупки равна 0, максимальная — 486 615, что указывает на наличие сильного разброса значений.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  <w:t xml:space="preserve">Среднее значение (~526) значительно выше медианы (~75), что говорит о наличии выбросов и перекоса распределения вправо. Стандартное отклонение (~2517) лишь подтверждает высокий разброс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3p7x4lqqfki7" w:id="5"/>
      <w:bookmarkEnd w:id="5"/>
      <w:r w:rsidDel="00000000" w:rsidR="00000000" w:rsidRPr="00000000">
        <w:rPr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0b5394"/>
          <w:rtl w:val="0"/>
        </w:rPr>
        <w:t xml:space="preserve">907 покупок с нулевой стоимостью было сделано, это может указывать как на ошибки так и феноменальные скидки в 100% =)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spjk6khevj6g" w:id="6"/>
      <w:bookmarkEnd w:id="6"/>
      <w:r w:rsidDel="00000000" w:rsidR="00000000" w:rsidRPr="00000000">
        <w:rPr>
          <w:rtl w:val="0"/>
        </w:rPr>
        <w:t xml:space="preserve">1.4.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12">
      <w:pPr>
        <w:pStyle w:val="Heading4"/>
        <w:rPr>
          <w:i w:val="1"/>
          <w:iCs w:val="1"/>
          <w:color w:val="0b5394"/>
        </w:rPr>
      </w:pPr>
      <w:bookmarkStart w:colFirst="0" w:colLast="0" w:name="_xr5xt4deix0c" w:id="7"/>
      <w:bookmarkEnd w:id="7"/>
      <w:r w:rsidDel="00000000" w:rsidR="00000000" w:rsidRPr="00000000">
        <w:rPr>
          <w:i w:val="1"/>
          <w:iCs w:val="1"/>
          <w:color w:val="0b5394"/>
          <w:rtl w:val="0"/>
        </w:rPr>
        <w:t xml:space="preserve">Среди покупок есть явные лидеры. Их два это Book of Legends и Bag of holding. Причем на первый приходится  около 76,9% всех покупок, при этом его приобретали 88,4% игроков, а у второго доля около 20,8% покупок и охватом 86,8% игроков.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Остальные предметы имеют крайне низкую популярность (менее 1% каждый)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/>
      </w:pPr>
      <w:bookmarkStart w:colFirst="0" w:colLast="0" w:name="_z143u5np220b" w:id="8"/>
      <w:bookmarkEnd w:id="8"/>
      <w:r w:rsidDel="00000000" w:rsidR="00000000" w:rsidRPr="00000000">
        <w:rPr>
          <w:rtl w:val="0"/>
        </w:rPr>
        <w:t xml:space="preserve">2. Результаты решения ad hoc задачи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Существует ли зависимость активности игроков по совершению внутриигровых покупок от расы персонажа?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Активность игроков по совершению покупок практически не зависит от расы персонажа.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Доля игроков, совершающих покупки, находится в диапазоне 60–63%, а среднее количество покупок и средние траты на пользователя различаются незначительно.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Гипотеза о том, что разные расы требуют примерно одинакового количества покупок для прохождения игры, подтверждается. Существенных перекосов в сложности игры между расами не наблюдается.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nwm5lzghpmz8" w:id="9"/>
      <w:bookmarkEnd w:id="9"/>
      <w:r w:rsidDel="00000000" w:rsidR="00000000" w:rsidRPr="00000000">
        <w:rPr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Монетизация игры в целом сбалансирована: доля платящих игроков не зависит от характеристик персонажа.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Основной объём покупок сосредоточен на ограниченном числе предметов (2). Видим сильный перекос баланса или крайнюю метовость этих предметов.</w:t>
        <w:br w:type="textWrapping"/>
        <w:br w:type="textWrapping"/>
        <w:t xml:space="preserve">Рекомендуется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Провести анализ причин популярности игровых предметов и как следствие анализа провести перебалнсировку игровых предметов или же повысить стоимость других предметов. Можно проводить различные акции с популярными предметами, чтобы еще больше повысить выручку.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